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13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</w:p>
    <w:p w14:paraId="07059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汉中市汉台区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市场监督管理局</w:t>
      </w:r>
    </w:p>
    <w:p w14:paraId="006AAA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行政处罚决定书</w:t>
      </w:r>
    </w:p>
    <w:p w14:paraId="774B3361">
      <w:pPr>
        <w:keepNext w:val="0"/>
        <w:keepLines w:val="0"/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汉区市监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处罚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[202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6]40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号</w:t>
      </w:r>
    </w:p>
    <w:p w14:paraId="5A66B7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 w14:paraId="684B72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汉中陈百兴强商贸有限公司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等501户企业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（名单详见附件）</w:t>
      </w:r>
    </w:p>
    <w:p w14:paraId="0ABF60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我局根据工作安排,对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连续2年（2023、2024年）未按规定报送年度报告被列入经营异常名录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未改正的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汉中陈百兴强商贸有限公司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等501户企业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生产经营情况进行检查，发现上述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户企业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未在登记的住所或者经营场所从事经营活动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。本局于2026年4月17日予以立案调查。</w:t>
      </w:r>
    </w:p>
    <w:p w14:paraId="5387BB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501户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连续2年未按规定报送年度报告被列入经营异常名录未改正的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实地核查，发现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登记的住所或者经营场所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未从事经营活动且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无法取得联系。</w:t>
      </w:r>
    </w:p>
    <w:p w14:paraId="48422D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上述事实，主要有以下证据证明：</w:t>
      </w:r>
    </w:p>
    <w:p w14:paraId="69132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1、我局执法人员从陕西省市场主体综合业务系统导出的2023、2024年未年报企业名单及国家企业信用信息公示系统截图501份，证明当事人自2023年度起连续2年未按规定报送年度报告的事实；</w:t>
      </w:r>
    </w:p>
    <w:p w14:paraId="7765ED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2、我局执法人员从陕西省市场主体综合业务系统、国家企业信用信息公示系统（陕西）-信用监管业务系统经营异常名录查询截图501份，证明企业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连续2年未按规定报送年度报告被列入经营异常名录未改正的事实；  </w:t>
      </w:r>
    </w:p>
    <w:p w14:paraId="1B8380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 w:color="auto"/>
          <w:lang w:val="en-US" w:eastAsia="zh-CN"/>
        </w:rPr>
        <w:t>经社区居委会、村委会、物业公司、第三方证人证明不在登记住所从事经营活动的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企业实地核查记录表501份，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 w:color="auto"/>
          <w:lang w:val="en-US" w:eastAsia="zh-CN"/>
        </w:rPr>
        <w:t>证明当事人未在登记住所或者经营场所从事经营活动的事实。</w:t>
      </w:r>
    </w:p>
    <w:p w14:paraId="022919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根据以上查明的事实和证据，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我局在区政府网站通过公告送达的方式向当事人送达了《行政处罚告知书》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none" w:color="auto"/>
        </w:rPr>
        <w:t>汉区市监罚告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vertAlign w:val="baseline"/>
          <w:lang w:val="en-US" w:eastAsia="zh-CN"/>
        </w:rPr>
        <w:t>〔2026〕18001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none" w:color="auto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，告知当事人拟作出的行政处罚内容及事实、理由、依据，并告知当事人依法享有陈述、申辩和要求听证的权利。当事人在法定期间内未提出听证要求，也未提出陈述、申辩意见。</w:t>
      </w:r>
    </w:p>
    <w:p w14:paraId="381C8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本局认为，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汉中陈百兴强商贸有限公司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501户企业连续2年未按规定报送年度报告被列入经营异常名录未改正，且通过登记的住所或者经营场所无法取得联系。其行为违反了《企业信息公示暂行条例》第十八条第一款“企业因连续2年未按规定报送年度报告被列入经营异常名录未改正，且通过登记的住所或者经营场所无法取得联系，由县级以上市场监督管理部门吊销营业执照。”的规定，构成了连续2年未按规定报送年度报告被列入经营异常名录未改正，且通过登记的住所或者经营场所无法取得联系的违法行为。</w:t>
      </w:r>
    </w:p>
    <w:p w14:paraId="0D8B9C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综上，当事人的上述行为违反了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《企业信息公示暂行条例》第十八条第一款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经本局负责人集体讨论，决定依据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《企业信息公示暂行条例》第十八条第一款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之规定对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当事人处罚如下：吊销营业执照。</w:t>
      </w:r>
    </w:p>
    <w:p w14:paraId="6B1D76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如你单位不服本行政处罚决定，可在接到本处罚决定书之日起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汉台区人民政府申请行政复议，也可以于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汉台区人民法院提起行政诉讼。申请行政复议或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提起行政诉讼期间，行政处罚不停止执行。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         </w:t>
      </w:r>
    </w:p>
    <w:p w14:paraId="0DA185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4478" w:leftChars="304" w:hanging="3840" w:hangingChars="1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D4FB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4473" w:leftChars="1368" w:hanging="1600" w:hanging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汉中市汉台区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市场监督管理局</w:t>
      </w:r>
    </w:p>
    <w:p w14:paraId="7F0EA2C5">
      <w:pPr>
        <w:keepNext w:val="0"/>
        <w:keepLines w:val="0"/>
        <w:pageBreakBefore w:val="0"/>
        <w:widowControl w:val="0"/>
        <w:tabs>
          <w:tab w:val="left" w:pos="5667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5110" w:leftChars="1824" w:right="861" w:hanging="1280" w:hanging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2026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</w:rPr>
        <w:t>日</w:t>
      </w:r>
    </w:p>
    <w:p w14:paraId="34FBAA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26CCD7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69D99E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76E73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4D27C8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4464A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4995E2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15EF4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4E63B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2FA500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55E15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29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5FFF0A-CDC2-4D3A-96B4-062BDF7C29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94D7332-B043-4B96-A068-6627FAA4EF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9EF3DF5-C5E3-4608-AFDA-F23FFE5E44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c3OTdjZTY1NjIwYzQ2ZDFhMzA0NTVhNDZiNDIxNzgifQ=="/>
  </w:docVars>
  <w:rsids>
    <w:rsidRoot w:val="577B7A9A"/>
    <w:rsid w:val="010B7C69"/>
    <w:rsid w:val="01676842"/>
    <w:rsid w:val="020E7BF1"/>
    <w:rsid w:val="025D2089"/>
    <w:rsid w:val="02644B84"/>
    <w:rsid w:val="0361440A"/>
    <w:rsid w:val="044E0E32"/>
    <w:rsid w:val="07C531CC"/>
    <w:rsid w:val="07D53466"/>
    <w:rsid w:val="07F8491F"/>
    <w:rsid w:val="08BF113E"/>
    <w:rsid w:val="09B1716C"/>
    <w:rsid w:val="09D72F3E"/>
    <w:rsid w:val="0F6C5E1D"/>
    <w:rsid w:val="11693873"/>
    <w:rsid w:val="12156A0E"/>
    <w:rsid w:val="17891B20"/>
    <w:rsid w:val="193F148A"/>
    <w:rsid w:val="198A7DBF"/>
    <w:rsid w:val="1FF560B1"/>
    <w:rsid w:val="20A82B04"/>
    <w:rsid w:val="221E0C28"/>
    <w:rsid w:val="28801E23"/>
    <w:rsid w:val="295D015F"/>
    <w:rsid w:val="2BBB3722"/>
    <w:rsid w:val="2D204697"/>
    <w:rsid w:val="2D660A98"/>
    <w:rsid w:val="36393E81"/>
    <w:rsid w:val="3EA0490B"/>
    <w:rsid w:val="42601ED0"/>
    <w:rsid w:val="43941631"/>
    <w:rsid w:val="44DA00FC"/>
    <w:rsid w:val="464527DD"/>
    <w:rsid w:val="47977F78"/>
    <w:rsid w:val="48CD547C"/>
    <w:rsid w:val="4B2C153B"/>
    <w:rsid w:val="4C7B3413"/>
    <w:rsid w:val="4E8E31EC"/>
    <w:rsid w:val="511F6C02"/>
    <w:rsid w:val="577B7A9A"/>
    <w:rsid w:val="57875762"/>
    <w:rsid w:val="5BD112A2"/>
    <w:rsid w:val="5C284BDB"/>
    <w:rsid w:val="5FC660BA"/>
    <w:rsid w:val="62B54875"/>
    <w:rsid w:val="637A3FCD"/>
    <w:rsid w:val="67C21048"/>
    <w:rsid w:val="68D947B7"/>
    <w:rsid w:val="6CDC4179"/>
    <w:rsid w:val="6D105F89"/>
    <w:rsid w:val="6FA43036"/>
    <w:rsid w:val="72B4277C"/>
    <w:rsid w:val="752913AF"/>
    <w:rsid w:val="788A4357"/>
    <w:rsid w:val="7D345976"/>
    <w:rsid w:val="7D8C052E"/>
    <w:rsid w:val="7EAF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1177</Characters>
  <Lines>0</Lines>
  <Paragraphs>0</Paragraphs>
  <TotalTime>122</TotalTime>
  <ScaleCrop>false</ScaleCrop>
  <LinksUpToDate>false</LinksUpToDate>
  <CharactersWithSpaces>1250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2022-06-23T02:53:00Z</dcterms:created>
  <dc:creator>Administrator</dc:creator>
  <cp:lastModifiedBy>汉台政务公开</cp:lastModifiedBy>
  <cp:lastPrinted>2026-06-12T01:41:00Z</cp:lastPrinted>
  <dcterms:modified xsi:type="dcterms:W3CDTF">2026-06-15T02:52:43Z</dcterms:modified>
  <dc:title>汉中市汉台区市场监督管理局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B7C765E0393E4C73AABA0FCB52E568EE</vt:lpwstr>
  </property>
  <property fmtid="{D5CDD505-2E9C-101B-9397-08002B2CF9AE}" pid="4" name="KSOTemplateDocerSaveRecord">
    <vt:lpwstr>eyJoZGlkIjoiNjhmZjRlYzc1ZDAwYWVkZDIyNTkyOTEyMWY1YmU3NDgiLCJ1c2VySWQiOiIxMjA3NDg1MjE4In0=</vt:lpwstr>
  </property>
</Properties>
</file>