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lang w:eastAsia="zh-CN"/>
        </w:rPr>
      </w:pPr>
      <w:r>
        <w:rPr>
          <w:rFonts w:hint="eastAsia"/>
          <w:lang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val="0"/>
          <w:sz w:val="44"/>
          <w:szCs w:val="44"/>
          <w:lang w:eastAsia="zh-CN"/>
        </w:rPr>
      </w:pPr>
      <w:bookmarkStart w:id="0" w:name="_GoBack"/>
      <w:r>
        <w:rPr>
          <w:rFonts w:hint="eastAsia" w:ascii="方正小标宋简体" w:hAnsi="方正小标宋简体" w:eastAsia="方正小标宋简体" w:cs="方正小标宋简体"/>
          <w:b w:val="0"/>
          <w:bCs w:val="0"/>
          <w:sz w:val="44"/>
          <w:szCs w:val="44"/>
          <w:lang w:eastAsia="zh-CN"/>
        </w:rPr>
        <w:t>汉台区强化危险废物监管和利用处置能力改革工作任务清单</w:t>
      </w:r>
    </w:p>
    <w:bookmarkEnd w:id="0"/>
    <w:tbl>
      <w:tblPr>
        <w:tblStyle w:val="4"/>
        <w:tblW w:w="13543" w:type="dxa"/>
        <w:tblInd w:w="-9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9"/>
        <w:gridCol w:w="940"/>
        <w:gridCol w:w="7935"/>
        <w:gridCol w:w="1230"/>
        <w:gridCol w:w="28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8875"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工作任务</w:t>
            </w:r>
          </w:p>
        </w:tc>
        <w:tc>
          <w:tcPr>
            <w:tcW w:w="12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牵头部门</w:t>
            </w:r>
          </w:p>
        </w:tc>
        <w:tc>
          <w:tcPr>
            <w:tcW w:w="28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配合部门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59"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w:t>
            </w:r>
          </w:p>
        </w:tc>
        <w:tc>
          <w:tcPr>
            <w:tcW w:w="940"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完善危险废物监管体制机制</w:t>
            </w: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依法依规履行危险废物监管职责。区政府对本辖区危险废物治理负总责，将危险废物污染环境防治工作纳入本地国民经济和社会发展规划，统筹推进，协同发展。各相关部门要认真执行国家危险废物治理方针政策，严格落实在危险废物利用处置、污染环境防治、安全生产、运输安全以及卫生防疫等方面的监管职责，进一步细化、实化相应监管环节工作举措，做到守土有责、守土尽责。</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区发改局、区经贸局、市公安局汉台分局、市自然资源局汉台分局、区城管局、区交通运输局、区农业农村局、区卫健局、区应急管理局、区市场监管局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59" w:type="dxa"/>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940" w:type="dxa"/>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建立监管联动机制。建立环境应急管理协作和联合执法工作机制，灵通信息、协调配合，形成工作合力，强化废弃危险化学品安全监管。落实首办移交，各职能部门在日常监管中发现的问题，属职责范围内监管事项要第一时间处理，涉及其他部门监管事项第一时间通报，对可能造成证据灭失、被隐匿或者非法转移以及造成或者可能造成严重污染环境的违法行为，第一时间通告相关部门，依法予以处理。健全完善危险货物运输资质、医疗废物产生、危险化学品生产及经营使用企业信息、危险废物经营单位及转移信息等数据共享制度。根据企业环境信用记录和环境风险可控程度等，将危险废物跨省转移纳入信用评价体系管理。</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区发改局、区教体局、区经贸局、市公安局汉台分局、市自然资源局汉台分局、区交通运输局、区农业农村局、区商务局、区卫健局、区应急管理局、区市场监管局、区行政审批局、区人民法院、区人民检察院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59" w:type="dxa"/>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940" w:type="dxa"/>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建立“一长三员”网格化监管机制。压实属地监管责任，以县区为单位，将行政区域内所有涉危险废物企业全部登记造册并动态更新。严格落实“网格化”监管，为每家企业安排1名镇办领导为网格长、1名网格监督员、1名生态环境部门监督执法人员和1名企业内部监督管理员，建立“四位一体”监管机制，强化网格内企业危险废物监督管理，严防非法转移处置危险废物。</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各镇、街道办事处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59" w:type="dxa"/>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940" w:type="dxa"/>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4.建立危险废物环境风险区域联防联控机制。要积极与周边地区协商建立合作机制，加强危险废物管理信息共享与联动执法，实现危险废物集中处置设施建设和运营管理优势互补。</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59"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940"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落实企业主体责任。(1)危险废物产生、收集、贮存、运输、利用、处置单位的主要负责人是危险废物污染环境防治和安全生产第一责任人，建立企业主体责任承诺制，压实企业污染环境防治和安全生产主体责任，严格落实危险废物污染环境防治和安全生产法律法规制度，依法依规投保环境污染责任保险。</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市公安局汉台分局、区交通运输局、区应急管理局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59" w:type="dxa"/>
            <w:vMerge w:val="restart"/>
            <w:tcBorders>
              <w:top w:val="single" w:color="000000" w:sz="4" w:space="0"/>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一</w:t>
            </w:r>
          </w:p>
        </w:tc>
        <w:tc>
          <w:tcPr>
            <w:tcW w:w="940" w:type="dxa"/>
            <w:vMerge w:val="restart"/>
            <w:tcBorders>
              <w:top w:val="single" w:color="000000" w:sz="4" w:space="0"/>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完善危险废物监管体制机制</w:t>
            </w: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落实企业主体责任。(2)企业要按照国家有关规定建立危险废物管理台账，及时通过陕西省固体废物管理信息系统申报危险废物产生、收集、贮存、运输、利用、处置相关资料，依法公开危险废物污染环境防治信息。利用、处置危险废物的单位，要依法向公众开放设施、场所，提高公众生态环境保护意识和参与程度。新建产生危险废物的建设项目应按照《建设项目危险废物环境影响评价指南》，将危险废物污染环境防治内容纳入环境影响评价文件，要结合危险废物产生量、贮存期限等，配套建设符合标准的贮存场所（设施）。现有危险废物产生单位自行对产生的危险废物进行利用处置，但原环境影响评价文件中未涉及自行利用处置内容的，应当分析变动部分是否属于重大变动，属于重大变动的依法重新报批环境影响评价文件，不属于重大变动的纳入竣工环境保护验收管理，可以通过排污许可证、环境风险评估或者修改单等方式明确污染防治要求，并将相关内容纳入危险废物管理计划备案。</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市公安局汉台分局、区交通运输局、区应急管理局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59"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0"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6.加快提升危险废物环境管理信息化水平。完善危险废物管理计划备案、医疗废物全过程管理、跨省转移资料审核和移动终端APP，提升全区固体废物信息化管理水平。鼓励危险废物经营单位依托行业协会利用“互联网+”技术，逐步实现社会源危险废物全过程可溯信息化管理。分步推进涉危险废物单位建设视频监控、电子标签、管理系统等智能物联网监控系统，适时将企业物联网接入陕西省固体废物信息管理系统，提升危险废物全过程信息化管理水平。</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市公安局汉台分局、区交通运输局、区卫健局、区应急管理局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5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w:t>
            </w:r>
          </w:p>
        </w:tc>
        <w:tc>
          <w:tcPr>
            <w:tcW w:w="9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强化危险废物源头管控</w:t>
            </w: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推动源头减量化。支持研发、推广减少工业危险废物产生量和降低工业危险废物危害性的生产工艺和设备，促进从源头上减少危险废物产生量、降低危害性。加快推进企业绿色制造、铅锌冶炼等重点产废行业绿色园区、绿色工厂建设，打造一批绿色制造先进典型。</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区经贸局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区发改局、市生态环境局汉台分局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5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8.促进危险废物资源化利用。鼓励企业延伸工艺链，提高危险废物内部循环利用率。进一步开展金属废弃包装桶资源化处置试点、水泥窑处置、铅锌冶炼废渣和电解铝废渣有条件豁免试点。</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区发改局、区经贸局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5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9.规范开展危险废物鉴别工作。配合省生态环境厅、市生态环境局做好废矿物油、铅锌冶炼废渣利用后尾渣的特性判定工作。</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5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严把环境准入关。对改扩建项目要依法开展环境影响评价，对环评文件危险废物种类、数量、属性、贮存设施及需要配套建设的污染防治措施阐述不清的、无危险废物合理利用处置方案、无环境风险防范措施的，不予批准。依法依规对已批复的重点行业涉危险废物建设项目环境影响评价文件开展复核，严格危险废物污染环境防治设施“三同时”管理，强化事中事后监管。依法落实工业危险废物排污许可制度，从严打击无证排污、不按证排污等行为。</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5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w:t>
            </w:r>
          </w:p>
        </w:tc>
        <w:tc>
          <w:tcPr>
            <w:tcW w:w="9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强化危险废物收集转运贮存等过程监管</w:t>
            </w: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11.加强生活垃圾中有害垃圾收集转运监管。深入推进城乡生活垃圾分类，引导居民分类投放，确保有害垃圾有效分开，建立有害垃圾收集转运体系，按照危险废物贮存标准，统筹规划建设有害垃圾贮存点。</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区城管局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市生态环境局汉台分局、区交通运输局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5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推动收集贮存转运专业化。（1）加快推进危险废物集中收集贮存转运试点建设，支持危险废物专业收集转运、利用处置的单位和社会力量，围绕工业园区内及周边区域年产生危险废物不超过1吨的工业企业、科研机构、学校等产废量小的单位建设区域性收集网点和贮存设施，开展危险废物专业收集贮存试点转运有偿服务。</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区交通运输局、区教体局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5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12.推动收集贮存转运专业化。（2）鼓励在有条件的高校集中区域开展实验室危险废物分类收集和预处理示范项目建设。</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区教体局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市生态环境局汉台分局、区交通运输局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5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加强转移联单管理。严格危险废物产生、运输、利用处置转移联单管理，企业应如实填写危险废物转移电子联单，联单保存期限至少5年。危险废物利用处置单位接受危险废物转入时，如发现危险废物的名称、数量、特性、形态、包装方式等与联单填写内容不符的，应及时向接受地生态环境部门报告，并通知产废单位。</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5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推动转移运输规范化和便捷化。危险废物运输单位须获得行政审批职能部门颁发的危险货物运输资质，运输车辆须安装卫星定位装置，并与生态环境、公安、交通运输等部门联网；进一步完善危险废物和医疗废物产生场所至收集、贮存、利用处置地的常备固定通行路线与备用路线，避开人流集中区域，规范通行秩序，实现危险废物和医疗废物运输车辆规范有序、安全便捷通行。</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市公安局汉台分局、区交通运输局、区卫健局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5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w:t>
            </w:r>
          </w:p>
        </w:tc>
        <w:tc>
          <w:tcPr>
            <w:tcW w:w="9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切实提升危险废物利用处置能力</w:t>
            </w: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统筹危险废物利用处置能力建设。（1）在全区危险废物基础状况详查基础上，全面客观评估全区危险废物产生量与处置能力匹配及设施运行情况，科学研判危险废物处置设施短板，按照《陕西省危险废物利用处置设施建设规划（2018-2025年）》要求，以产生、处置量总体匹配为目标，充分发挥政府部门统筹调控作用，突出结构调整、布局优化主要任务，积极推动处置单位技术改造、提档升级，增强环境风险防范能力，促进环境治理产业有序发展，2022年底前全区危险废物处置能力与产废情况总体匹配。</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区发改局、区经贸局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5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15.统筹危险废物利用处置能力建设。（2）积极争取医疗废物处置设施等城市公共基础设施建设资金支持。</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区发改局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区财政局、市自然资源局汉台分局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5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加强科技支撑。加大对危险废物利用处置行业的科技投入力度，不断推进行业技术升级换代。支持固体废物污染环境防治的科学研究、技术开发、先进技术推广和科学普及，加强危险废物污染环境防治科技支撑。</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区发改局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区经贸局、市生态环境局汉台分局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trPr>
        <w:tc>
          <w:tcPr>
            <w:tcW w:w="55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w:t>
            </w:r>
          </w:p>
        </w:tc>
        <w:tc>
          <w:tcPr>
            <w:tcW w:w="9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促进危险废物利用处置产业高质量发展</w:t>
            </w: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17.建立健全危险废物利用处置能力退出机制。建立完善危险废物经营单位市场退出机制，淘汰一批达不到国家强制性标准的落后产能。</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区发改局、区经贸局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6" w:hRule="atLeast"/>
        </w:trPr>
        <w:tc>
          <w:tcPr>
            <w:tcW w:w="55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推动危险废物利用处置企业规模化发展、产业化运营。定期发布危险废物相关信息，引导资金、技术、土地、人才等市场要素合理流动配置，鼓励采取多元投资和市场化方式建设规模化危险废物利用设施，促进危险废物利用处置产业发展；支持生产者责任延伸，引导生产企业利用销售网络和渠道回收其产品使用产生的危险废物，实现危险废物再生利用；积极引进国内外先进工艺技术、管理经验，开展专业化建设运营服务，进一步增强企业专业化运营能力。</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区发改局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区经贸局、市生态环境局汉台分局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55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19.严格执行污染控制技术规范。督促相关企业严格贯彻执行铅锌冶炼废渣等危险废物资源化利用的污染控制技术规范。</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1" w:hRule="atLeast"/>
        </w:trPr>
        <w:tc>
          <w:tcPr>
            <w:tcW w:w="55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w:t>
            </w:r>
          </w:p>
        </w:tc>
        <w:tc>
          <w:tcPr>
            <w:tcW w:w="9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建立平战结合的医疗废物应急处置体系</w:t>
            </w: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完善医疗废物应急处置机制。（1）将医疗废物收集、贮存、运输、处置等工作纳入重大传染病疫情领导指挥体系，强化统筹协调，保障所需车辆、场地、处置设施和防护物资。坚持常态化防控和应急处置相结合，制定完善疫情医疗废物环境管理应急预案，规范应急启动程序，明确定点医院、集中隔离场所、封闭管理社区（村庄）涉疫情医疗废物及按疫情医疗废物管理的生活垃圾收集、贮存规范要求，建立医疗废物应急运输、处置梯队，确保医疗废物应急处置需求。</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区交通运输局、区卫健局、区城管局、区应急管理局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5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20.完善医疗废物应急处置机制。（2）加强医疗机构、危险废物经营单位以及应急处置单位的应急演练，强化部门、企业间协调联动，提升应急响应能力。</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区卫健局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市生态环境局汉台分局、区应急管理局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5" w:hRule="atLeast"/>
        </w:trPr>
        <w:tc>
          <w:tcPr>
            <w:tcW w:w="55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21.保障重大疫情医疗废物应急处置能力。（1）统筹谋划医疗废物处置应急能力建设，保障重大疫情医疗废物安全有效处置。</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区发改局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区财政局、市生态环境局汉台分局、区卫健局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55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保障重大疫情医疗废物应急处置能力。（2）2022年6月底前，应至少明确一座协同应急处置设施，同时明确该设施应急状态的管理流程和规则。列入协同应急处置设施清单的设施，根据实际设置医疗废物应急处置备用进料装置，落实人力、技术、运输、物资以及人员卫生防护等保障措施。</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区发改局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区经贸局、市生态环境局汉台分局、区卫健局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trPr>
        <w:tc>
          <w:tcPr>
            <w:tcW w:w="55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w:t>
            </w:r>
          </w:p>
        </w:tc>
        <w:tc>
          <w:tcPr>
            <w:tcW w:w="9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着力提升危险废物环境风险防控能力</w:t>
            </w: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22.强化危险废物应急管控。将涉危险废物突发生态环境事件应急处置纳入政府应急响应体系，督促指导危险废物相关单位制定突发环境事件防范措施和完善环境应急响应预案，开展突发环境事件预案演练。</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55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94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23.培育专业应急救援队伍。依托条件较好的危险废物经营单位或产废单位，组建危险废物专业应急救援队伍，提高应急救援能力，最大程度减少突发危险废物事件环境影响。</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5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落实税收政策</w:t>
            </w:r>
          </w:p>
        </w:tc>
        <w:tc>
          <w:tcPr>
            <w:tcW w:w="79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依据固体废物资源综合利用企业名单，精准落实环保税免征政策；对未合规贮存、处置的危险废物，按规定征收环境保护税。</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区税务局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区经贸局、市生态环境局汉台分局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5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保障土地供给</w:t>
            </w:r>
          </w:p>
        </w:tc>
        <w:tc>
          <w:tcPr>
            <w:tcW w:w="79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衔接省市统筹规划的危险废物集中利用处置基地建设布局，指导辖区科学编制国土空间规划，将相关项目用地统筹纳入规划，指导辖区做好危险废物集中、收集处置基地和收集、处置设施建设用地保障工作。</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市自然资源局汉台分局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严厉打击涉危险废物违法犯罪行为</w:t>
            </w:r>
          </w:p>
        </w:tc>
        <w:tc>
          <w:tcPr>
            <w:tcW w:w="79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强化危险废物环境执法，将危险废物纳入日常生态环境执法监管体系，通过“双随机、一公开”“互联网+”等执法方式，常态化开展执法监管，查办实名投诉举报案件。组织开展严厉打击危险废物环境违法犯罪专项行动，与“昆仑”行动一体推进，对跨区域涉危险废物的重大案件，开展联合调查会商和挂牌督办，集中侦破一批大要案件，严惩一批违法犯罪分子，依法严厉打击非法排放、倾倒、收集、贮存、转移、利用、处置危险废物等环境违法犯罪行为。</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市公安局汉台分局、区人民法院、区人民检察院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5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强化行政执法与刑事司法、检察公益诉讼的协调联动</w:t>
            </w: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积极推动工作有序衔接，完善行政处罚信息录入、信息共享、案情通报、案件移送等双向衔接工作机制。对重大案件、重点区域案件组织开展司法执法联动，实施专项监督，加大综合惩处力度。</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市公安局汉台分局、区人民法院、区人民检察院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8" w:hRule="atLeast"/>
        </w:trPr>
        <w:tc>
          <w:tcPr>
            <w:tcW w:w="5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加大督察整改力度</w:t>
            </w: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强化中央和我省生态环境保护督察发现的危险废物问题整改，及时验收销号。</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6" w:hRule="atLeast"/>
        </w:trPr>
        <w:tc>
          <w:tcPr>
            <w:tcW w:w="5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营造良好氛围</w:t>
            </w:r>
          </w:p>
        </w:tc>
        <w:tc>
          <w:tcPr>
            <w:tcW w:w="79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充分发挥各类媒体作用，采取多种形式加强宣传报道。加强对涉危险废物重大环境案件查处情况的宣传，形成强力震慑。</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市生态环境局汉台分局</w:t>
            </w:r>
          </w:p>
        </w:tc>
        <w:tc>
          <w:tcPr>
            <w:tcW w:w="28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18"/>
                <w:szCs w:val="18"/>
                <w:u w:val="none"/>
              </w:rPr>
            </w:pPr>
          </w:p>
        </w:tc>
      </w:tr>
    </w:tbl>
    <w:p/>
    <w:sectPr>
      <w:pgSz w:w="16838" w:h="11906" w:orient="landscape"/>
      <w:pgMar w:top="1134" w:right="1440" w:bottom="56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auto"/>
    <w:pitch w:val="default"/>
    <w:sig w:usb0="00000000" w:usb1="00000000" w:usb2="00000000" w:usb3="00000000" w:csb0="00040001" w:csb1="00000000"/>
  </w:font>
  <w:font w:name="方正小标宋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hY2Y0YjA4MDRmMjkxNzZkNzFhYjJjMGM2NjlhOTcifQ=="/>
  </w:docVars>
  <w:rsids>
    <w:rsidRoot w:val="4B8351A7"/>
    <w:rsid w:val="04A951CF"/>
    <w:rsid w:val="0F9B76EE"/>
    <w:rsid w:val="4B835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5359</Words>
  <Characters>5425</Characters>
  <Lines>0</Lines>
  <Paragraphs>0</Paragraphs>
  <TotalTime>3</TotalTime>
  <ScaleCrop>false</ScaleCrop>
  <LinksUpToDate>false</LinksUpToDate>
  <CharactersWithSpaces>5425</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2022-05-12T02:42:00Z</dcterms:created>
  <dc:creator>大型食肉宠物</dc:creator>
  <cp:lastModifiedBy>大型食肉宠物</cp:lastModifiedBy>
  <dcterms:modified xsi:type="dcterms:W3CDTF">2022-05-12T02:45:52Z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F8953539C78A41E2B96C8A6301EC607F</vt:lpwstr>
  </property>
</Properties>
</file>