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汉中文川至褒城公路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建设工程</w:t>
      </w:r>
      <w:r>
        <w:rPr>
          <w:rFonts w:hint="eastAsia" w:ascii="方正小标宋简体" w:eastAsia="方正小标宋简体"/>
          <w:bCs/>
          <w:sz w:val="36"/>
          <w:szCs w:val="36"/>
        </w:rPr>
        <w:t>汉台段</w:t>
      </w:r>
      <w:r>
        <w:rPr>
          <w:rFonts w:hint="eastAsia" w:ascii="方正小标宋简体" w:eastAsia="方正小标宋简体"/>
          <w:sz w:val="36"/>
          <w:szCs w:val="36"/>
        </w:rPr>
        <w:t>建筑物拆迁补偿标准</w:t>
      </w:r>
    </w:p>
    <w:bookmarkEnd w:id="0"/>
    <w:tbl>
      <w:tblPr>
        <w:tblStyle w:val="5"/>
        <w:tblW w:w="13591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70"/>
        <w:gridCol w:w="8431"/>
        <w:gridCol w:w="13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结构类型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等级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房屋状况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   （元/m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砖混结构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一类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房屋主体：24砖砌墙体，有钢筋混凝土圈梁、过梁、柱；卷材或钢性防水屋面或架空屋隔热板屋面，普通水泥地面；外墙贴瓷砖，内墙面普通粉刷；一玻一纱铝合金窗，木门（含室内装修）。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层高3米以上，包含水、电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二类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房屋主体：18砖砌墙体，有钢筋混凝土圈梁、过梁、柱；卷材或钢性防水屋面或架空屋隔热板屋面，普通水泥地面；外墙贴瓷砖，内墙面普通粉刷；一玻一纱铝合金窗，木门（含室内装修）。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檐高3米以上，包含水、电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砖木结构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一类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24砖墙，37砖柱承重；木椽木檩，机瓦或小青瓦屋面，普通水泥地面，内、外墙面普通粉刷，纤维板顶棚，单玻木门窗，普通电照（含室内装修）。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檐高3米以上，包含水、电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二类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砖墙，37砖柱承重；木椽木檩，机瓦或小青瓦屋面，普通水泥地面，内、外墙面普通粉刷，纤维板顶棚，单玻木门窗，普通电照。楼顶檐墙高1.8米以上，按砖木二类房屋一层计算，1.8米以下，按砖木二类房屋半层计算（含室内装修）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室外楼梯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按投影面积计算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土木结构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土墙或土胚墙，一般木架柱、檩条，机瓦或小青瓦屋面；原土夯实地面，外墙面不抹灰，不刷涂料，内墙面普通粉刷，单玻木门窗，普通电照。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简易房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砖或土墙，一般木架柱、檩条，石棉瓦屋面；有门、有窗、有普通电照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檐高2.2米以上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简易棚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有柱、有顶、无墙、无门窗。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檐高2.2米以上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门楼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砖混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砖混结构，外砌瓷砖或刷石、楼板或现浇顶。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高度3.5米以上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砖木</w:t>
            </w: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砖木结构，普通顶棚，门柱粉刷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高度3.5米以上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建成屋基</w:t>
            </w:r>
          </w:p>
        </w:tc>
        <w:tc>
          <w:tcPr>
            <w:tcW w:w="87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有地梁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无地梁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179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7840" w:firstLineChars="2800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t>3</w: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7840" w:firstLineChars="2800"/>
                    </w:pPr>
                    <w:r>
                      <w:rPr>
                        <w:rFonts w:hint="eastAsia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1"/>
                      </w:rPr>
                      <w:t>3</w: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8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9B570DE"/>
    <w:rsid w:val="49B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2024-02-02T02:49:00Z</dcterms:created>
  <dc:creator>大型食肉宠物</dc:creator>
  <cp:lastModifiedBy>大型食肉宠物</cp:lastModifiedBy>
  <dcterms:modified xsi:type="dcterms:W3CDTF">2024-02-02T02:51:02Z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9C5CB034D6274609AA8AA5679C096D99_11</vt:lpwstr>
  </property>
</Properties>
</file>