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3206"/>
        <w:gridCol w:w="5344"/>
        <w:gridCol w:w="3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default" w:ascii="Verdana" w:hAnsi="Verdana" w:cs="Verdan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汉台区2022年政府性基金收支预算表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  目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      目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一、国有土地使用权出让收入（上级补助收入）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一、城乡社区事务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1. 国有土地使用权出让收入及对应专项债务收入安排的支出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其中：（一）征地和拆迁补偿支出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55600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二、专项债券对应项目专项收入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20,850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（二）土地开发支出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（三）补助被征地农民支出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（四） 其他国有土地使用权出让收入安排的支出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二、债务付息支出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15162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三、上年结余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三、债务还本支出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5688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四、年终结余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91850 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支出合计</w:t>
            </w:r>
          </w:p>
        </w:tc>
        <w:tc>
          <w:tcPr>
            <w:tcW w:w="3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91850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备注：2021年中心城区土地使用权出让收入政策调整，国有土地使用权收入缴入市级，以上级补助收入下达县区。</w:t>
            </w:r>
          </w:p>
        </w:tc>
      </w:tr>
    </w:tbl>
    <w:p/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6C5055CD"/>
    <w:rsid w:val="04841833"/>
    <w:rsid w:val="04A951CF"/>
    <w:rsid w:val="0F9B76EE"/>
    <w:rsid w:val="6C5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319</Characters>
  <Lines>0</Lines>
  <Paragraphs>0</Paragraphs>
  <TotalTime>1</TotalTime>
  <ScaleCrop>false</ScaleCrop>
  <LinksUpToDate>false</LinksUpToDate>
  <CharactersWithSpaces>374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2022-05-12T02:03:00Z</dcterms:created>
  <dc:creator>大型食肉宠物</dc:creator>
  <cp:lastModifiedBy>大型食肉宠物</cp:lastModifiedBy>
  <dcterms:modified xsi:type="dcterms:W3CDTF">2022-05-12T02:05:10Z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96B24116EB3F47F081B671BAE589A061</vt:lpwstr>
  </property>
</Properties>
</file>