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林木花卉补偿标准</w:t>
      </w:r>
    </w:p>
    <w:bookmarkEnd w:id="0"/>
    <w:tbl>
      <w:tblPr>
        <w:tblStyle w:val="6"/>
        <w:tblW w:w="106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877"/>
        <w:gridCol w:w="958"/>
        <w:gridCol w:w="614"/>
        <w:gridCol w:w="837"/>
        <w:gridCol w:w="775"/>
        <w:gridCol w:w="743"/>
        <w:gridCol w:w="1272"/>
        <w:gridCol w:w="1832"/>
        <w:gridCol w:w="1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34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别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别</w:t>
            </w:r>
          </w:p>
        </w:tc>
        <w:tc>
          <w:tcPr>
            <w:tcW w:w="18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类</w:t>
            </w:r>
          </w:p>
        </w:tc>
        <w:tc>
          <w:tcPr>
            <w:tcW w:w="18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</w:t>
            </w: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种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格</w:t>
            </w:r>
          </w:p>
        </w:tc>
        <w:tc>
          <w:tcPr>
            <w:tcW w:w="18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 星 杂 树（胸径）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小于5cm（不含5cm）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︶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乔木林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5-10cm（不含10cm）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疏林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10-20cm（不含20cm）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灌木林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未成林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 cm以上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杂树类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桃、杏、梨、葡萄、猕猴桃花椒、核桃、石榴、樱桃、柿子等各种经济油料树木类零星果树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果苗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未挂果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密度大于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农业种植标准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初挂果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花卉类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盛果树（6-13年）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密度大于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农业种植要求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老龄树（13年以上）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果园类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未挂果类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零星经济树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杜仲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初挂果类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棕树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盛果类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桑树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药材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零星景观树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景观树15cm以上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景观树10-14cm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景观树5-9cm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景观树（幼）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spacing w:val="0"/>
          <w:lang w:eastAsia="zh-CN"/>
        </w:rPr>
      </w:pPr>
    </w:p>
    <w:p>
      <w:pPr>
        <w:pStyle w:val="5"/>
        <w:ind w:left="0" w:leftChars="0" w:firstLine="0" w:firstLineChars="0"/>
        <w:rPr>
          <w:rFonts w:hint="eastAsia"/>
          <w:spacing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E77E7"/>
    <w:rsid w:val="04A951CF"/>
    <w:rsid w:val="0F9B76EE"/>
    <w:rsid w:val="2A0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eastAsia="楷体_GB231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2022-01-17T03:35:00Z</dcterms:created>
  <dc:creator>大型食肉宠物</dc:creator>
  <cp:lastModifiedBy>大型食肉宠物</cp:lastModifiedBy>
  <dcterms:modified xsi:type="dcterms:W3CDTF">2022-01-17T03:35:38Z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7F873A40E5D749A597695409BD89420E</vt:lpwstr>
  </property>
</Properties>
</file>