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spacing w:val="0"/>
          <w:sz w:val="32"/>
          <w:szCs w:val="32"/>
          <w:lang w:eastAsia="zh-CN"/>
        </w:rPr>
      </w:pPr>
      <w:r>
        <w:rPr>
          <w:rFonts w:hint="eastAsia"/>
          <w:spacing w:val="0"/>
          <w:sz w:val="32"/>
          <w:szCs w:val="32"/>
          <w:lang w:eastAsia="zh-CN"/>
        </w:rPr>
        <w:t>附件</w:t>
      </w:r>
    </w:p>
    <w:p>
      <w:pPr>
        <w:pStyle w:val="6"/>
        <w:ind w:left="0" w:leftChars="0" w:firstLine="0" w:firstLineChars="0"/>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中央和地方层面设定的涉企经营许可事项改革汉台区实施清单（2021年版）</w:t>
      </w:r>
    </w:p>
    <w:bookmarkEnd w:id="0"/>
    <w:p>
      <w:pPr>
        <w:pStyle w:val="2"/>
        <w:rPr>
          <w:rFonts w:hint="eastAsia"/>
          <w:sz w:val="36"/>
          <w:szCs w:val="36"/>
          <w:lang w:val="en-US" w:eastAsia="zh-CN"/>
        </w:rPr>
      </w:pPr>
    </w:p>
    <w:tbl>
      <w:tblPr>
        <w:tblStyle w:val="7"/>
        <w:tblW w:w="147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28" w:type="dxa"/>
          <w:bottom w:w="57" w:type="dxa"/>
          <w:right w:w="28" w:type="dxa"/>
        </w:tblCellMar>
      </w:tblPr>
      <w:tblGrid>
        <w:gridCol w:w="496"/>
        <w:gridCol w:w="555"/>
        <w:gridCol w:w="1581"/>
        <w:gridCol w:w="847"/>
        <w:gridCol w:w="915"/>
        <w:gridCol w:w="934"/>
        <w:gridCol w:w="485"/>
        <w:gridCol w:w="485"/>
        <w:gridCol w:w="485"/>
        <w:gridCol w:w="485"/>
        <w:gridCol w:w="3471"/>
        <w:gridCol w:w="2792"/>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370" w:hRule="atLeast"/>
          <w:tblHeader/>
          <w:jc w:val="center"/>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序号</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kern w:val="0"/>
                <w:sz w:val="20"/>
                <w:szCs w:val="20"/>
                <w:u w:val="none"/>
                <w:lang w:val="en-US" w:eastAsia="zh-CN" w:bidi="ar"/>
              </w:rPr>
            </w:pPr>
            <w:r>
              <w:rPr>
                <w:rFonts w:hint="eastAsia" w:ascii="黑体" w:hAnsi="宋体" w:eastAsia="黑体" w:cs="黑体"/>
                <w:i w:val="0"/>
                <w:iCs w:val="0"/>
                <w:color w:val="auto"/>
                <w:kern w:val="0"/>
                <w:sz w:val="20"/>
                <w:szCs w:val="20"/>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部门</w:t>
            </w:r>
          </w:p>
        </w:tc>
        <w:tc>
          <w:tcPr>
            <w:tcW w:w="1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改革事项</w:t>
            </w:r>
          </w:p>
        </w:tc>
        <w:tc>
          <w:tcPr>
            <w:tcW w:w="8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许可证件名称</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kern w:val="0"/>
                <w:sz w:val="20"/>
                <w:szCs w:val="20"/>
                <w:u w:val="none"/>
                <w:lang w:val="en-US" w:eastAsia="zh-CN" w:bidi="ar"/>
              </w:rPr>
            </w:pPr>
            <w:r>
              <w:rPr>
                <w:rFonts w:hint="eastAsia" w:ascii="黑体" w:hAnsi="宋体" w:eastAsia="黑体" w:cs="黑体"/>
                <w:i w:val="0"/>
                <w:iCs w:val="0"/>
                <w:color w:val="auto"/>
                <w:kern w:val="0"/>
                <w:sz w:val="20"/>
                <w:szCs w:val="20"/>
                <w:u w:val="none"/>
                <w:lang w:val="en-US" w:eastAsia="zh-CN" w:bidi="ar"/>
              </w:rPr>
              <w:t>设定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依据</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审批层级和部门</w:t>
            </w:r>
          </w:p>
        </w:tc>
        <w:tc>
          <w:tcPr>
            <w:tcW w:w="19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改革方式</w:t>
            </w:r>
          </w:p>
        </w:tc>
        <w:tc>
          <w:tcPr>
            <w:tcW w:w="3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具体改革举措</w:t>
            </w:r>
          </w:p>
        </w:tc>
        <w:tc>
          <w:tcPr>
            <w:tcW w:w="27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加强事中事后监管措施</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落实改革要求责任分工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tblHeader/>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c>
          <w:tcPr>
            <w:tcW w:w="1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直接取消审批</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审批改为备案</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实行告知承诺</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优化审批服务</w:t>
            </w: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c>
          <w:tcPr>
            <w:tcW w:w="27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885" w:hRule="atLeast"/>
          <w:jc w:val="center"/>
        </w:trPr>
        <w:tc>
          <w:tcPr>
            <w:tcW w:w="4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val="en-US" w:eastAsia="zh-CN" w:bidi="ar"/>
              </w:rPr>
              <w:t>1</w:t>
            </w:r>
          </w:p>
        </w:tc>
        <w:tc>
          <w:tcPr>
            <w:tcW w:w="5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公安部</w:t>
            </w:r>
          </w:p>
        </w:tc>
        <w:tc>
          <w:tcPr>
            <w:tcW w:w="158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典当业特种行业许可证核发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典当业特种行业许可证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《国务院对确需保留的行政审批项目设定行政许可的决定》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县级以上地方公安机关</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取消“典当业特种行业许可证核发”。</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公安汉台分局取消审批，并按照行业要求，履行监管职责。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564" w:hRule="atLeast"/>
          <w:jc w:val="center"/>
        </w:trPr>
        <w:tc>
          <w:tcPr>
            <w:tcW w:w="496"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val="en-US" w:eastAsia="zh-CN" w:bidi="ar"/>
              </w:rPr>
              <w:t>2</w:t>
            </w:r>
          </w:p>
        </w:tc>
        <w:tc>
          <w:tcPr>
            <w:tcW w:w="5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住房城乡建设部</w:t>
            </w:r>
          </w:p>
        </w:tc>
        <w:tc>
          <w:tcPr>
            <w:tcW w:w="1581"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房地产开发企业三级资质核定</w:t>
            </w:r>
          </w:p>
        </w:tc>
        <w:tc>
          <w:tcPr>
            <w:tcW w:w="847"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房地产开发企业资质证书</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《中华人民共和国城市房地产管理法》《城市房地产开发经营管理条例》</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县级以上地方住房城乡建设部门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将房地产开发企业资质由四级调整为两级，取消三级资质，相应调整二级资质的许可条件。</w:t>
            </w:r>
          </w:p>
        </w:tc>
        <w:tc>
          <w:tcPr>
            <w:tcW w:w="27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1.开展“双随机、一公开”监管，依法查处违法违规行为并公开结果。2.加强信用监管，依法依规对失信主体开展失信惩戒。3.发挥行业协会自律作用。</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区住建局取消审批，并按照行业要求，履行监管职责。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296" w:hRule="atLeast"/>
          <w:jc w:val="center"/>
        </w:trPr>
        <w:tc>
          <w:tcPr>
            <w:tcW w:w="49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val="en-US" w:eastAsia="zh-CN" w:bidi="ar"/>
              </w:rPr>
              <w:t>3</w:t>
            </w:r>
          </w:p>
        </w:tc>
        <w:tc>
          <w:tcPr>
            <w:tcW w:w="555"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房地产开发企业四级资质核定</w:t>
            </w: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将房地产开发企业资质由四级调整为两级，取消四级资质，相应调整二级资质的许可条件。</w:t>
            </w:r>
          </w:p>
        </w:tc>
        <w:tc>
          <w:tcPr>
            <w:tcW w:w="27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国家卫生健康委</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诊所设置审批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开办诊所不再向卫生健康部门申请办理设置审批，直接办理诊所执业备案。</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9"/>
                <w:szCs w:val="19"/>
                <w:u w:val="none"/>
                <w:lang w:val="en-US" w:eastAsia="zh-CN" w:bidi="ar"/>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pacing w:val="-11"/>
                <w:kern w:val="0"/>
                <w:sz w:val="20"/>
                <w:szCs w:val="20"/>
                <w:u w:val="none"/>
                <w:lang w:val="en-US" w:eastAsia="zh-CN" w:bidi="ar"/>
              </w:rPr>
              <w:t>新版事项库审批层级在区级。根据改革要求，区审批局取消审批；区卫健局按照行业要求，履行监管职责</w:t>
            </w:r>
            <w:r>
              <w:rPr>
                <w:rFonts w:hint="eastAsia" w:ascii="宋体" w:hAnsi="宋体" w:eastAsia="宋体" w:cs="宋体"/>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计划生育技术服务机构设立许可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计划生育技术服务机构执业许可证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《计划生育技术服务管理条例》</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取消“计划生育技术服务机构设立许可”，纳入“母婴保健专项技术服务许可”进行统一审批管理。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1.加强监督管理，发现违法违规行为要依法查处并公开结果。2.加强信用监管，将计划生育技术服务机构执业状况记入信用记录并依法向社会公布。3.依法及时处理投诉举报。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新版事项库审批层级在市级。根据改革要求，区审批局取消审批；市、区卫健局按照行业要求，履行监管职责。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62"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部分医疗机构（除三级医院、三级妇幼保健院、急救中心、急救站、临床检验中心、中外合资合作医疗机构、港澳台独资医疗机构外）《设置医疗机构批准书》核发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设置医疗机构批准书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《医疗机构管理条例》</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区审批局取消审批；市、区卫健局按照行业要求，履行监管职责。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18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val="en-US" w:eastAsia="zh-CN" w:bidi="ar"/>
              </w:rPr>
              <w:t>7</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市场监管总局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广告发布登记</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关于准予广告发布登记的通知书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《中华人民共和国广告法》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县级以上地方市场监管部门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取消“广告发布登记”。</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1.加大广告监测力度，发现广告发布机构发布虚假违法广告要依法查处。2.加强协同监管，联合有关部门共同做好广告发布机构监管工作。</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区市场监管局取消审批；市、区市场监管局按照行业要求，履行监管职责。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771"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国家林草局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在草原上开展经营性旅游活动审批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草原作业许可证（草原经营性旅游活动）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《中华人民共和国草原法》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县级以上地方林草部门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取消“在草原上开展经营性旅游活动审批”。</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开展“双随机、一公开”监管，在草原征占用行为监管过程中，一并对有关经营性旅游活动进行检查，发现违法违规行为要依法查处并公开结果。</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pacing w:val="-11"/>
                <w:kern w:val="0"/>
                <w:sz w:val="20"/>
                <w:szCs w:val="20"/>
                <w:u w:val="none"/>
                <w:lang w:val="en-US" w:eastAsia="zh-CN" w:bidi="ar"/>
              </w:rPr>
            </w:pPr>
            <w:r>
              <w:rPr>
                <w:rFonts w:hint="eastAsia" w:ascii="宋体" w:hAnsi="宋体" w:eastAsia="宋体" w:cs="宋体"/>
                <w:i w:val="0"/>
                <w:iCs w:val="0"/>
                <w:color w:val="auto"/>
                <w:spacing w:val="-11"/>
                <w:kern w:val="0"/>
                <w:sz w:val="20"/>
                <w:szCs w:val="20"/>
                <w:u w:val="none"/>
                <w:lang w:val="en-US" w:eastAsia="zh-CN" w:bidi="ar"/>
              </w:rPr>
              <w:t>区林业局取消审批；市、区林业局按照行业要求，履行监管职责。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86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交通运输部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机动车驾驶员培训许可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道路运输经营许可证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《中华人民共和国道路交通安全法》《中华人民共和国道路运输条例》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县级交通运输部门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取消“机动车驾驶员培训许可”，改为备案管理。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予以处理，情节严重的实行行业禁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区交通局配合市交通局做好备案；市、区交通局按照行业要求，履行监管职责。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商务部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对外贸易经营者备案登记</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对外贸易经营者备案登记表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《中华人民共和国对外贸易法》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县级以上地方商务部门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取消对外贸易经营者的许可准入管理，改为备案管理。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区商务局配合市商务局做好备案，并按照行业要求，履行监管职责。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3261"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11</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国家卫生健康委</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诊所执业登记</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医疗机构执业许可证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取消对诊所执业的许可准入管理，改为备案管理。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Style w:val="9"/>
                <w:color w:val="auto"/>
                <w:sz w:val="20"/>
                <w:szCs w:val="20"/>
                <w:lang w:val="en-US" w:eastAsia="zh-CN" w:bidi="ar"/>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区卫健局制定备案标准和流程，并按照行业要求，履行监管职责；区审批局负责备案。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98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12</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市场监管总局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食品经营许可（仅销售预包装食品）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《中华人民共和国食品安全法》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县级以上地方市场监管部门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1.对仅销售预包装食品的企业，取消食品经营许可，改为备案管理。2.将“食品经营备案（仅销售预包装食品）”纳入“多证合一”范围，在企业登记注册环节一并办理备案手续。</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区市场监管局负责备案，并按照行业要求，履行监管职责。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04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国家粮食和储备局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粮食收购资格认定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粮食收购许可证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《粮食流通管理条例》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企业办理登记注册的市场监管部门同级的粮食和储备部门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highlight w:val="none"/>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取消“粮食收购资格认定”，改为备案管理。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通过“双随机、一公开”监管、重点监管等方式，依法查处违法违规企业。2.加强信用监管，依法向社会公布企业信用状况，依法依规对失信主体开展失信惩戒。3.严厉打击弄虚作假行为，对弄虚作假的企业依法予以处理。</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区发改局（粮食）负责备案，并按照行业要求，履行监管职责。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30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4</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公安部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旅馆业特种行业许可证核发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旅馆业特种行业许可证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《国务院对确需保留的行政审批项目设定行政许可的决定》《旅馆业治安管理办法》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县级以上地方公安机关</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1.加强对承诺内容真实性的核查，发现虚假承诺、承诺严重不实的要依法处理。2.开展“双随机、一公开”监管，依法查处违法违规行为。</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公安汉台分局实行告知承诺审批，并按照行业要求，履行监管职责。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297"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公章刻制业特种行业许可证核发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公章刻制业特种行业许可证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《国务院对确需保留的行政审批项目设定行政许可的决定》《印铸刻字业暂行管理规则》</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设区的市、县级公安机关</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60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6</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互联网上网服务营业场所信息网络安全审核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批准文件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《互联网上网服务营业场所管理条例》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省、设区的市、县级公安机关</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强对承诺内容真实性的核查，发现虚假承诺、承诺严重不实的要依法处理。2.开展“双随机、一公开”监管，依法查处违法违规行为。3.加强信用监管，建立从业人员信用记录，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公安汉台分局实行告知承诺审批，并按照行业要求，履行监管职责。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539" w:hRule="atLeast"/>
          <w:jc w:val="center"/>
        </w:trPr>
        <w:tc>
          <w:tcPr>
            <w:tcW w:w="4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17</w:t>
            </w:r>
          </w:p>
        </w:tc>
        <w:tc>
          <w:tcPr>
            <w:tcW w:w="5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财政部</w:t>
            </w:r>
          </w:p>
        </w:tc>
        <w:tc>
          <w:tcPr>
            <w:tcW w:w="158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中介机构从事代理记账业务审批</w:t>
            </w:r>
          </w:p>
        </w:tc>
        <w:tc>
          <w:tcPr>
            <w:tcW w:w="8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代理记账许可证书</w:t>
            </w:r>
          </w:p>
        </w:tc>
        <w:tc>
          <w:tcPr>
            <w:tcW w:w="9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《中华人民共和国会计法》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县级以上地方财政部门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pacing w:val="-6"/>
                <w:kern w:val="0"/>
                <w:sz w:val="20"/>
                <w:szCs w:val="20"/>
                <w:u w:val="none"/>
                <w:lang w:val="en-US" w:eastAsia="zh-CN" w:bidi="ar"/>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区审批局实行告知承诺审批；区财政局按照行业要求，履行监管职责。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18</w:t>
            </w:r>
          </w:p>
        </w:tc>
        <w:tc>
          <w:tcPr>
            <w:tcW w:w="555"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人力资源社会保障部</w:t>
            </w:r>
          </w:p>
        </w:tc>
        <w:tc>
          <w:tcPr>
            <w:tcW w:w="158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民办职业培训学校设立、分立、合并、变更及终止审批</w:t>
            </w:r>
          </w:p>
        </w:tc>
        <w:tc>
          <w:tcPr>
            <w:tcW w:w="84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民办学校办学许可证</w:t>
            </w:r>
          </w:p>
        </w:tc>
        <w:tc>
          <w:tcPr>
            <w:tcW w:w="9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《中华人民共和国民办教育促进法》</w:t>
            </w:r>
          </w:p>
        </w:tc>
        <w:tc>
          <w:tcPr>
            <w:tcW w:w="9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县级以上地方人力资源社会保障部门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1.开展“双随机、一公开”监管，发现违法违规行为要依法查处并公开结果。2.加强信用监管，依法向社会公布民办职业培训学校信用状况，依法依规对失信主体开展失信惩戒。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区审批局实行告知承诺审批；区人社局按照行业要求，履行监管职责。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605" w:hRule="atLeast"/>
          <w:jc w:val="center"/>
        </w:trPr>
        <w:tc>
          <w:tcPr>
            <w:tcW w:w="49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19</w:t>
            </w:r>
          </w:p>
        </w:tc>
        <w:tc>
          <w:tcPr>
            <w:tcW w:w="555"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人力资源服务许可</w:t>
            </w:r>
          </w:p>
        </w:tc>
        <w:tc>
          <w:tcPr>
            <w:tcW w:w="8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人力资源服务许可证</w:t>
            </w:r>
          </w:p>
        </w:tc>
        <w:tc>
          <w:tcPr>
            <w:tcW w:w="9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《中华人民共和国就业促进法》《人力资源市场暂行条例》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县级以上地方人力资源社会保障部门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1.开展“双随机、一公开”监管，发现违法违规行为要依法查处并公开结果。2.加强信用监管，依法向社会公布人力资源服务机构信用状况，依法依规对失信主体开展失信惩戒。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区审批局实行告知承诺审批；区人社局按照行业要求，履行监管职责。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129"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住房城乡建设部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从事生活垃圾（含粪便）经营性清扫、收集、运输、处理服务审批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从事生活垃圾（含粪便）经营性清扫、收集、运输、处理服务许可证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《国务院对确需保留的行政审批项目设定行政许可的决定》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县级以上地方住房城乡建设（环境卫生）部门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区城管局实行告知承诺审批，并按照行业要求，履行监管职责。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912"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21</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交通运输部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道路货运经营许可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道路运输经营许可证</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《中华人民共和国道路运输条例》</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县级交通运输部门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区交通局配合</w:t>
            </w:r>
            <w:r>
              <w:rPr>
                <w:rFonts w:hint="default" w:ascii="Times New Roman" w:hAnsi="Times New Roman" w:eastAsia="宋体" w:cs="Times New Roman"/>
                <w:i w:val="0"/>
                <w:iCs w:val="0"/>
                <w:color w:val="auto"/>
                <w:kern w:val="0"/>
                <w:sz w:val="20"/>
                <w:szCs w:val="20"/>
                <w:u w:val="none"/>
                <w:lang w:val="en-US" w:eastAsia="zh-CN" w:bidi="ar"/>
              </w:rPr>
              <w:t>市交通局</w:t>
            </w:r>
            <w:r>
              <w:rPr>
                <w:rFonts w:hint="eastAsia" w:ascii="Times New Roman" w:hAnsi="Times New Roman" w:eastAsia="宋体" w:cs="Times New Roman"/>
                <w:i w:val="0"/>
                <w:iCs w:val="0"/>
                <w:color w:val="auto"/>
                <w:kern w:val="0"/>
                <w:sz w:val="20"/>
                <w:szCs w:val="20"/>
                <w:u w:val="none"/>
                <w:lang w:val="en-US" w:eastAsia="zh-CN" w:bidi="ar"/>
              </w:rPr>
              <w:t>做好</w:t>
            </w:r>
            <w:r>
              <w:rPr>
                <w:rFonts w:hint="default" w:ascii="Times New Roman" w:hAnsi="Times New Roman" w:eastAsia="宋体" w:cs="Times New Roman"/>
                <w:i w:val="0"/>
                <w:iCs w:val="0"/>
                <w:color w:val="auto"/>
                <w:kern w:val="0"/>
                <w:sz w:val="20"/>
                <w:szCs w:val="20"/>
                <w:u w:val="none"/>
                <w:lang w:val="en-US" w:eastAsia="zh-CN" w:bidi="ar"/>
              </w:rPr>
              <w:t>告知承诺审批；市、区交通</w:t>
            </w:r>
            <w:r>
              <w:rPr>
                <w:rFonts w:hint="eastAsia" w:ascii="Times New Roman" w:hAnsi="Times New Roman" w:eastAsia="宋体" w:cs="Times New Roman"/>
                <w:i w:val="0"/>
                <w:iCs w:val="0"/>
                <w:color w:val="auto"/>
                <w:kern w:val="0"/>
                <w:sz w:val="20"/>
                <w:szCs w:val="20"/>
                <w:u w:val="none"/>
                <w:lang w:val="en-US" w:eastAsia="zh-CN" w:bidi="ar"/>
              </w:rPr>
              <w:t>局</w:t>
            </w:r>
            <w:r>
              <w:rPr>
                <w:rFonts w:hint="default" w:ascii="Times New Roman" w:hAnsi="Times New Roman" w:eastAsia="宋体" w:cs="Times New Roman"/>
                <w:i w:val="0"/>
                <w:iCs w:val="0"/>
                <w:color w:val="auto"/>
                <w:kern w:val="0"/>
                <w:sz w:val="20"/>
                <w:szCs w:val="20"/>
                <w:u w:val="none"/>
                <w:lang w:val="en-US" w:eastAsia="zh-CN" w:bidi="ar"/>
              </w:rPr>
              <w:t>按照行业要求，履行监管职责。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63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22</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道路旅客运输站经营许可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道路运输经营许可证</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国家卫生健康委</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公共场所卫生许可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卫生许可证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《公共场所卫生管理条例》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1.开展“双随机、一公开”监管，发现违法违规行为要依法查处并公开结果。2.加强信用监管，向社会公布卫生状况存在严重问题的公共场所信息。3.畅通投诉举报渠道，依法及时处理投诉举报。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区审批局实行告知承诺审批；区卫健局按照行业要求，履行监管职责。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56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公众聚集场所投入使用、营业前消防安全检查</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公众聚集场所投入使用、营业前消防安全检查合格证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《中华人民共和国消防法》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设区的市、县级消防救援机构</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区应急管理局（消防）实行告知承诺审批，并按照行业要求，履行监管职责。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271"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国家林草局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林草种子（普通）生产经营许可证核发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林草种子生产经营许可证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《中华人民共和国种子法》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县级以上地方林草部门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1.开展“双随机、一公开”监管，发现违法违规行为要依法查处并公开结果。2.制定核查办法，明确核查时间、标准、方式，优化现场检查程序。3.加强信用监管，建立企业信用记录并依法向社会公开。</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区审批局实行告知承诺审批；区林业局按照行业要求，履行监管职责。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526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26</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教育部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实施中等及中等以下学历教育、学前教育、自学考试助学及其他文化教育的民办学校设立、变更和终止审批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中华人民共和国民办学校办学许可证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《中华人民共和国民办教育促进法》《中华人民共和国民办教育促进法实施条例》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县级以上地方教育部门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区审批局负责优化审批服务；区教体局按照行业要求，履行监管职责。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73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27</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人力资源社会保障部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劳务派遣经营许可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劳务派遣经营许可证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《中华人民共和国劳动合同法》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县级以上地方人力资源社会保障部门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1.开展“双随机、一公开”监管，发现违法违规行为要依法查处。2.加强信用监管，依法向社会公布劳务派遣企业信用状况，依法依规对失信主体开展失信惩戒。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区审批局负责优化审批服务；区人社局按照行业要求，履行监管职责。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412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28</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自然资源部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开采矿产资源审批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《中华人民共和国矿产资源法》《中华人民共和国矿产资源法实施细则》《矿产资源开采登记管理办法》《探矿权采矿权转让管理办法》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自然资源部；县级以上地方自然资源部门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1.开展“双随机、一公开”监管，对违法违规采矿的要依法查处并公开结果。2.利用有关信息系统实现矿业权人勘查开采信息公示等，加强对采矿权人行为的监管。</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市自然资源局汉台分局配合市自然资源局做好优化审批服务，并按照行业要求，履行监管职责。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59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29</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生态环境部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危险废物综合经营许可证核发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危险废物经营许可证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《中华人民共和国固体废物污染环境防治法》《危险废物经营许可证管理办法》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县级以上地方生态环境部门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新版事项库审批层级在市级。市生态环境局汉台分局按照行业要求，履行监管职责。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331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30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生态环境部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排污许可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排污许可证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《中华人民共和国土壤污染防治法》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县级以上地方生态环境部门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通过建设项目行业特征表实现有关信息系统的衔接，推动环境影响评价与排污许可之间的信息共享，不再要求企业重复填报有关信息。</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依法查处无证排污行为和未按证排污行为。2.畅通投诉举报渠道，对反映问题多的排污单位实施重点监管。3.加强信用监管，将企业环境信用信息通过有关信息共享平台向各地区、各部门共享，依法向社会公开信用信息，并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新版事项库审批层级在市级。市生态环境局汉台分局按照行业要求，履行监管职责。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305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31</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住房城乡建设部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房地产开发企业二级资质核定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房地产开发企业资质证书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《中华人民共和国城市房地产管理法》《城市房地产开发经营管理条例》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县级以上地方住房城乡建设部门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1.开展“双随机、一公开”监管，依法查处违法违规行为并公开结果。 2.加强信用监管，依法依规对失信主体开展失信惩戒。3.发挥行业协会自律作用。</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新版事项库审批层级在市级。区住建局按照行业要求，履行监管职责。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67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32</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住房城乡建设部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燃气经营许可证核发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燃气经营许可证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《城镇燃气管理条例》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县级以上地方燃气管理部门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1.实行电子化申报和审批。2.不再要求申请人提供人员身份证明、社保证明、资质资格证书等材料。</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1.开展“双随机、一公开”监管，通过信息公示、抽查、抽验等方式，综合运用提醒、约谈、告诫等手段，依法查处违法违规行为并公开结果。2.加强信用监管，依法依规对失信主体开展失信惩戒。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区住建局负责优化审批服务，并按照行业要求，履行监管职责。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151"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交通运输部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建设港口设施使用非深水岸线审批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批准文件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《中华人民共和国港口法》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县级以上地方交通运输（港口）部门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1.不再要求申请人提供营业执照、公司章程等材料。2.不再要求申请人领取港口非深水岸线使用证。</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1.加强信用监管，将港口岸线使用有关信用信息纳入相关信用信息共享平台并依法向社会公布。2.依托港口岸线资源监测平台，利用遥感卫星图片跟踪岸线资源利用情况，发现问题要依法及时处理。</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区交通局配合</w:t>
            </w:r>
            <w:r>
              <w:rPr>
                <w:rFonts w:hint="default" w:ascii="Times New Roman" w:hAnsi="Times New Roman" w:eastAsia="宋体" w:cs="Times New Roman"/>
                <w:i w:val="0"/>
                <w:iCs w:val="0"/>
                <w:color w:val="auto"/>
                <w:kern w:val="0"/>
                <w:sz w:val="20"/>
                <w:szCs w:val="20"/>
                <w:u w:val="none"/>
                <w:lang w:val="en-US" w:eastAsia="zh-CN" w:bidi="ar"/>
              </w:rPr>
              <w:t>市交通局</w:t>
            </w:r>
            <w:r>
              <w:rPr>
                <w:rFonts w:hint="eastAsia" w:ascii="Times New Roman" w:hAnsi="Times New Roman" w:eastAsia="宋体" w:cs="Times New Roman"/>
                <w:i w:val="0"/>
                <w:iCs w:val="0"/>
                <w:color w:val="auto"/>
                <w:kern w:val="0"/>
                <w:sz w:val="20"/>
                <w:szCs w:val="20"/>
                <w:u w:val="none"/>
                <w:lang w:val="en-US" w:eastAsia="zh-CN" w:bidi="ar"/>
              </w:rPr>
              <w:t>做好</w:t>
            </w:r>
            <w:r>
              <w:rPr>
                <w:rFonts w:hint="default" w:ascii="Times New Roman" w:hAnsi="Times New Roman" w:eastAsia="宋体" w:cs="Times New Roman"/>
                <w:i w:val="0"/>
                <w:iCs w:val="0"/>
                <w:color w:val="auto"/>
                <w:kern w:val="0"/>
                <w:sz w:val="20"/>
                <w:szCs w:val="20"/>
                <w:u w:val="none"/>
                <w:lang w:val="en-US" w:eastAsia="zh-CN" w:bidi="ar"/>
              </w:rPr>
              <w:t>优化审批服务；市、区交通</w:t>
            </w:r>
            <w:r>
              <w:rPr>
                <w:rFonts w:hint="eastAsia" w:ascii="Times New Roman" w:hAnsi="Times New Roman" w:eastAsia="宋体" w:cs="Times New Roman"/>
                <w:i w:val="0"/>
                <w:iCs w:val="0"/>
                <w:color w:val="auto"/>
                <w:kern w:val="0"/>
                <w:sz w:val="20"/>
                <w:szCs w:val="20"/>
                <w:u w:val="none"/>
                <w:lang w:val="en-US" w:eastAsia="zh-CN" w:bidi="ar"/>
              </w:rPr>
              <w:t>局</w:t>
            </w:r>
            <w:r>
              <w:rPr>
                <w:rFonts w:hint="default" w:ascii="Times New Roman" w:hAnsi="Times New Roman" w:eastAsia="宋体" w:cs="Times New Roman"/>
                <w:i w:val="0"/>
                <w:iCs w:val="0"/>
                <w:color w:val="auto"/>
                <w:kern w:val="0"/>
                <w:sz w:val="20"/>
                <w:szCs w:val="20"/>
                <w:u w:val="none"/>
                <w:lang w:val="en-US" w:eastAsia="zh-CN" w:bidi="ar"/>
              </w:rPr>
              <w:t>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62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kern w:val="0"/>
                <w:sz w:val="20"/>
                <w:szCs w:val="20"/>
                <w:u w:val="none"/>
                <w:lang w:val="en-US" w:eastAsia="zh-CN" w:bidi="ar"/>
              </w:rPr>
              <w:t>34</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交通运输部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交通运输部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道路旅客运输经营许可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道路运输经营许可证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《中华人民共和国道路运输条例》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设区的市、县级交通运输部门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不再要求申请人提供企业章程，现有营运客车行驶证、车辆技术等级评定结论、客车类型等级评定证明，已聘用或者拟聘用驾驶人员的3年内无重大以上交通责任事故证明等材料。</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1.强化部门间信息共享。2.加强社会监督，向社会公开道路旅客运输企业的运输服务质量承诺，依法及时处理投诉举报。3.加强对道路旅客运输活动的监督检查，发现违法违规行为要依法查处。</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区交通局配合</w:t>
            </w:r>
            <w:r>
              <w:rPr>
                <w:rFonts w:hint="default" w:ascii="Times New Roman" w:hAnsi="Times New Roman" w:eastAsia="宋体" w:cs="Times New Roman"/>
                <w:i w:val="0"/>
                <w:iCs w:val="0"/>
                <w:color w:val="auto"/>
                <w:kern w:val="0"/>
                <w:sz w:val="20"/>
                <w:szCs w:val="20"/>
                <w:u w:val="none"/>
                <w:lang w:val="en-US" w:eastAsia="zh-CN" w:bidi="ar"/>
              </w:rPr>
              <w:t>市交通局</w:t>
            </w:r>
            <w:r>
              <w:rPr>
                <w:rFonts w:hint="eastAsia" w:ascii="Times New Roman" w:hAnsi="Times New Roman" w:eastAsia="宋体" w:cs="Times New Roman"/>
                <w:i w:val="0"/>
                <w:iCs w:val="0"/>
                <w:color w:val="auto"/>
                <w:kern w:val="0"/>
                <w:sz w:val="20"/>
                <w:szCs w:val="20"/>
                <w:u w:val="none"/>
                <w:lang w:val="en-US" w:eastAsia="zh-CN" w:bidi="ar"/>
              </w:rPr>
              <w:t>做好</w:t>
            </w:r>
            <w:r>
              <w:rPr>
                <w:rFonts w:hint="default" w:ascii="Times New Roman" w:hAnsi="Times New Roman" w:eastAsia="宋体" w:cs="Times New Roman"/>
                <w:i w:val="0"/>
                <w:iCs w:val="0"/>
                <w:color w:val="auto"/>
                <w:kern w:val="0"/>
                <w:sz w:val="20"/>
                <w:szCs w:val="20"/>
                <w:u w:val="none"/>
                <w:lang w:val="en-US" w:eastAsia="zh-CN" w:bidi="ar"/>
              </w:rPr>
              <w:t>优化审批服务；市、区交通</w:t>
            </w:r>
            <w:r>
              <w:rPr>
                <w:rFonts w:hint="eastAsia" w:ascii="Times New Roman" w:hAnsi="Times New Roman" w:eastAsia="宋体" w:cs="Times New Roman"/>
                <w:i w:val="0"/>
                <w:iCs w:val="0"/>
                <w:color w:val="auto"/>
                <w:kern w:val="0"/>
                <w:sz w:val="20"/>
                <w:szCs w:val="20"/>
                <w:u w:val="none"/>
                <w:lang w:val="en-US" w:eastAsia="zh-CN" w:bidi="ar"/>
              </w:rPr>
              <w:t>局</w:t>
            </w:r>
            <w:r>
              <w:rPr>
                <w:rFonts w:hint="default" w:ascii="Times New Roman" w:hAnsi="Times New Roman" w:eastAsia="宋体" w:cs="Times New Roman"/>
                <w:i w:val="0"/>
                <w:iCs w:val="0"/>
                <w:color w:val="auto"/>
                <w:kern w:val="0"/>
                <w:sz w:val="20"/>
                <w:szCs w:val="20"/>
                <w:u w:val="none"/>
                <w:lang w:val="en-US" w:eastAsia="zh-CN" w:bidi="ar"/>
              </w:rPr>
              <w:t>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98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kern w:val="0"/>
                <w:sz w:val="20"/>
                <w:szCs w:val="20"/>
                <w:u w:val="none"/>
                <w:lang w:val="en-US" w:eastAsia="zh-CN" w:bidi="ar"/>
              </w:rPr>
              <w:t>35</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出租汽车经营许可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道路运输经营许可证、网络预约出租汽车经营许可证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《国务院对确需保留的行政审批项目设定行政许可的决定》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直辖市、设区的市、县级交通运输部门或者人民政府指定的出租汽车行政主管部门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将审批时限由20个工作日压减至15个工作日。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1.开展服务质量信誉考核测评，建立出租汽车经营者信用档案并依法向社会公开信用记录，依法依规对失信主体开展失信惩戒。2.依法及时处理投诉举报。3.发挥行业协会自律作用。</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区交通局配合</w:t>
            </w:r>
            <w:r>
              <w:rPr>
                <w:rFonts w:hint="default" w:ascii="Times New Roman" w:hAnsi="Times New Roman" w:eastAsia="宋体" w:cs="Times New Roman"/>
                <w:i w:val="0"/>
                <w:iCs w:val="0"/>
                <w:color w:val="auto"/>
                <w:kern w:val="0"/>
                <w:sz w:val="20"/>
                <w:szCs w:val="20"/>
                <w:u w:val="none"/>
                <w:lang w:val="en-US" w:eastAsia="zh-CN" w:bidi="ar"/>
              </w:rPr>
              <w:t>市交通局</w:t>
            </w:r>
            <w:r>
              <w:rPr>
                <w:rFonts w:hint="eastAsia" w:ascii="Times New Roman" w:hAnsi="Times New Roman" w:eastAsia="宋体" w:cs="Times New Roman"/>
                <w:i w:val="0"/>
                <w:iCs w:val="0"/>
                <w:color w:val="auto"/>
                <w:kern w:val="0"/>
                <w:sz w:val="20"/>
                <w:szCs w:val="20"/>
                <w:u w:val="none"/>
                <w:lang w:val="en-US" w:eastAsia="zh-CN" w:bidi="ar"/>
              </w:rPr>
              <w:t>做好</w:t>
            </w:r>
            <w:r>
              <w:rPr>
                <w:rFonts w:hint="default" w:ascii="Times New Roman" w:hAnsi="Times New Roman" w:eastAsia="宋体" w:cs="Times New Roman"/>
                <w:i w:val="0"/>
                <w:iCs w:val="0"/>
                <w:color w:val="auto"/>
                <w:kern w:val="0"/>
                <w:sz w:val="20"/>
                <w:szCs w:val="20"/>
                <w:u w:val="none"/>
                <w:lang w:val="en-US" w:eastAsia="zh-CN" w:bidi="ar"/>
              </w:rPr>
              <w:t>优化审批服务；市、区交通</w:t>
            </w:r>
            <w:r>
              <w:rPr>
                <w:rFonts w:hint="eastAsia" w:ascii="Times New Roman" w:hAnsi="Times New Roman" w:eastAsia="宋体" w:cs="Times New Roman"/>
                <w:i w:val="0"/>
                <w:iCs w:val="0"/>
                <w:color w:val="auto"/>
                <w:kern w:val="0"/>
                <w:sz w:val="20"/>
                <w:szCs w:val="20"/>
                <w:u w:val="none"/>
                <w:lang w:val="en-US" w:eastAsia="zh-CN" w:bidi="ar"/>
              </w:rPr>
              <w:t>局</w:t>
            </w:r>
            <w:r>
              <w:rPr>
                <w:rFonts w:hint="default" w:ascii="Times New Roman" w:hAnsi="Times New Roman" w:eastAsia="宋体" w:cs="Times New Roman"/>
                <w:i w:val="0"/>
                <w:iCs w:val="0"/>
                <w:color w:val="auto"/>
                <w:kern w:val="0"/>
                <w:sz w:val="20"/>
                <w:szCs w:val="20"/>
                <w:u w:val="none"/>
                <w:lang w:val="en-US" w:eastAsia="zh-CN" w:bidi="ar"/>
              </w:rPr>
              <w:t>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339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36</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出租汽车车辆运营证核发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道路运输证、网络预约出租汽车运输证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《国务院对确需保留的行政审批项目设定行政许可的决定》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直辖市、设区的市、县级交通运输部门或者人民政府指定的出租汽车行政主管部门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对开展出租汽车技术等级评定的地区，不再要求申请人提供技术等级评定相关材料，直接向检测机构获取车辆技术等级评定信息。</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1.开展服务质量信誉考核测评，建立出租汽车经营者信用档案并依法向社会公开信用记录，依法依规对失信主体开展失信惩戒。2.依法及时处理投诉举报。3.发挥行业协会自律作用。</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区交通局配合</w:t>
            </w:r>
            <w:r>
              <w:rPr>
                <w:rFonts w:hint="default" w:ascii="Times New Roman" w:hAnsi="Times New Roman" w:eastAsia="宋体" w:cs="Times New Roman"/>
                <w:i w:val="0"/>
                <w:iCs w:val="0"/>
                <w:color w:val="auto"/>
                <w:kern w:val="0"/>
                <w:sz w:val="20"/>
                <w:szCs w:val="20"/>
                <w:u w:val="none"/>
                <w:lang w:val="en-US" w:eastAsia="zh-CN" w:bidi="ar"/>
              </w:rPr>
              <w:t>市交通局</w:t>
            </w:r>
            <w:r>
              <w:rPr>
                <w:rFonts w:hint="eastAsia" w:ascii="Times New Roman" w:hAnsi="Times New Roman" w:eastAsia="宋体" w:cs="Times New Roman"/>
                <w:i w:val="0"/>
                <w:iCs w:val="0"/>
                <w:color w:val="auto"/>
                <w:kern w:val="0"/>
                <w:sz w:val="20"/>
                <w:szCs w:val="20"/>
                <w:u w:val="none"/>
                <w:lang w:val="en-US" w:eastAsia="zh-CN" w:bidi="ar"/>
              </w:rPr>
              <w:t>做好</w:t>
            </w:r>
            <w:r>
              <w:rPr>
                <w:rFonts w:hint="default" w:ascii="Times New Roman" w:hAnsi="Times New Roman" w:eastAsia="宋体" w:cs="Times New Roman"/>
                <w:i w:val="0"/>
                <w:iCs w:val="0"/>
                <w:color w:val="auto"/>
                <w:kern w:val="0"/>
                <w:sz w:val="20"/>
                <w:szCs w:val="20"/>
                <w:u w:val="none"/>
                <w:lang w:val="en-US" w:eastAsia="zh-CN" w:bidi="ar"/>
              </w:rPr>
              <w:t>优化审批服务；市、区交通</w:t>
            </w:r>
            <w:r>
              <w:rPr>
                <w:rFonts w:hint="eastAsia" w:ascii="Times New Roman" w:hAnsi="Times New Roman" w:eastAsia="宋体" w:cs="Times New Roman"/>
                <w:i w:val="0"/>
                <w:iCs w:val="0"/>
                <w:color w:val="auto"/>
                <w:kern w:val="0"/>
                <w:sz w:val="20"/>
                <w:szCs w:val="20"/>
                <w:u w:val="none"/>
                <w:lang w:val="en-US" w:eastAsia="zh-CN" w:bidi="ar"/>
              </w:rPr>
              <w:t>局</w:t>
            </w:r>
            <w:r>
              <w:rPr>
                <w:rFonts w:hint="default" w:ascii="Times New Roman" w:hAnsi="Times New Roman" w:eastAsia="宋体" w:cs="Times New Roman"/>
                <w:i w:val="0"/>
                <w:iCs w:val="0"/>
                <w:color w:val="auto"/>
                <w:kern w:val="0"/>
                <w:sz w:val="20"/>
                <w:szCs w:val="20"/>
                <w:u w:val="none"/>
                <w:lang w:val="en-US" w:eastAsia="zh-CN" w:bidi="ar"/>
              </w:rPr>
              <w:t>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652"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37</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水利部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河道（含长江）采砂许可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河道采砂许可证、长江河道采砂许可证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《中华人民共和国水法》《中华人民共和国河道管理条例》《长江河道采砂管理条例》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有关流域管理机构；县级以上地方水利部门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落实河道采砂管理河长、水行政主管部门、现场监管和行政执法四方责任。2.开展“四不两直”暗访，加强对采砂情况的监督检查。3.长江干流实行砂石采运管理单制度，加强采砂现场及运输环节监管。4.运用卫星遥感、卫星导航定位、视频监控、无人机航测等技术手段进行动态监控。5.依法及时处理投诉举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区水利局负责优化审批服务，并按照行业要求，履行监管职责。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409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38</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取水许可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取水许可证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《中华人民共和国水法》《取水许可和水资源费征收管理条例》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流域管理机构；县级以上地方水利部门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1.在各类开发区、工业园区、新区和其他有条件的区域，推行水资源论证区域评估，对已实施水资源论证区域评估范围内的建设项目推行取水许可告知承诺制。  2.按国务院统一部署，推广取水许可电子许可证，实现申请、审批全程网上办理。 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区水利局负责优化审批服务，并按照行业要求，履行监管职责。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567"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39</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农业农村部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农业农村部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生鲜乳准运证明核发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生鲜乳准运证明</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《乳品质量安全监督管理条例》</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县级农业农村（畜牧兽医）部门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将生鲜乳准运证有效期由1年延长至2年。</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1.开展“双随机、一公开”监管，发现违法违规行为要依法查处并公开结果。2.加强对生鲜乳运输车辆的监管，将车辆全部纳入监管监测信息系统，实时掌握运营情况。</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83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40</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生鲜乳收购站许可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生鲜乳收购许可证</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将审批时限由20个工作日压减至10个工作日。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1.开展“双随机、一公开”监管，发现违法违规行为要依法查处并公开结果。2.加强对生鲜乳收购站的监管，将其全部纳入监管监测信息系统，实时掌握收购、运营情况。</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567"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41</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农作物种子、食用菌菌种生产经营许可证核发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农作物种子、食用菌菌种生产经营许可证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《中华人民共和国种子法》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县级以上地方农业农村部门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1.实现申请、审批网上办理。 2.不再要求申请人提供营业执照、法定代表人身份证等材料，通过部门间信息共享获取相关信息。</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1.开展“双随机、一公开”监管，根据风险程度，合理确定抽查比例，对风险等级高的领域、投诉举报多的企业实施重点监管。 2.强化社会监督，依法及时处理举报、投诉问题，调查处理结果向社会公开。</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3291"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42</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种畜禽生产经营许可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种畜禽生产经营许可证</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《中华人民共和国畜牧法》</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县级以上地方农业农村部门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不再要求申请人提供营业执照、法定代表人身份证等材料，通过部门间信息共享获取相关信息。</w:t>
            </w:r>
          </w:p>
        </w:tc>
        <w:tc>
          <w:tcPr>
            <w:tcW w:w="27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10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43</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蜂种生产经营许可证核发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蜂种生产经营许可证</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pacing w:val="-11"/>
                <w:kern w:val="0"/>
                <w:sz w:val="20"/>
                <w:szCs w:val="20"/>
                <w:u w:val="none"/>
                <w:lang w:val="en-US" w:eastAsia="zh-CN" w:bidi="ar"/>
              </w:rPr>
              <w:t>新版事项库审批层级在市级；区农业农村局按照行业要求，履行监管职责。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567"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44</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蚕种生产经营许可证核发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蚕种生产经营许可证</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62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45</w:t>
            </w:r>
          </w:p>
        </w:tc>
        <w:tc>
          <w:tcPr>
            <w:tcW w:w="5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农业农村部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兽药经营许可证核发（非生物制品类）</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兽药经营许可证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《兽药管理条例》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设区的市、县级农业农村部门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将审批时限由30个工作日压减至20个工作日。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1.开展“双随机、一公开”监管，发现违法违规行为要依法查处并公开查处结果。2.对风险等级高的领域、投诉举报多的企业增加监督检查次数和抽检兽药数量，实施重点监管。</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46</w:t>
            </w:r>
          </w:p>
        </w:tc>
        <w:tc>
          <w:tcPr>
            <w:tcW w:w="55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动物诊疗许可证核发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动物诊疗许可证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《中华人民共和国动物防疫法》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县级以上地方农业农村部门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将审批时限由20个工作日压减至15个工作日。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71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47</w:t>
            </w:r>
          </w:p>
        </w:tc>
        <w:tc>
          <w:tcPr>
            <w:tcW w:w="5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农药经营许可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农药经营许可证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《农药管理条例》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县级以上地方农业农村部门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1.实现申请、审批网上办理。2.不再要求申请人同时提供申请材料的纸质文件和电子文档。</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79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48</w:t>
            </w:r>
          </w:p>
        </w:tc>
        <w:tc>
          <w:tcPr>
            <w:tcW w:w="5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农业农村部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动物防疫条件合格证核发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动物防疫条件合格证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《中华人民共和国动物防疫法》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县级以上地方农业农村部门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1.实现申请、审批网上办理。2.将审批时限由20个工作日压减至15个工作日。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1.开展“双随机、一公开”监管，发现违法违规行为要依法查处并公开结果。2.针对行业突出问题和重大风险点，开展安全风险预警监测，及时发现隐患并处置。3.强化社会监督，依法及时处理投诉举报。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49</w:t>
            </w:r>
          </w:p>
        </w:tc>
        <w:tc>
          <w:tcPr>
            <w:tcW w:w="55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渔业捕捞许可证审批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渔业捕捞许可证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《中华人民共和国渔业法》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县级以上农业农村（渔业）部门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1.实现全国一网通办。2.对能够通过有关信息系统或者部门间信息共享核查的证明材料，不再要求申请人提供。</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1.开展“双随机、一公开”监管，发现违法违规行为要依法查处并及时公布查处结果。2.强化社会监督，依法及时处理投诉举报，调查处理结果向社会公开。</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02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50</w:t>
            </w:r>
          </w:p>
        </w:tc>
        <w:tc>
          <w:tcPr>
            <w:tcW w:w="5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水域滩涂养殖证核发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水域滩涂养殖证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《中华人民共和国渔业法》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县级以上地方人民政府</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1.实现全国一网通办，申请人“最多跑一次”。2.不再要求申请人提供营业执照、法定代表人身份证等材料，通过部门间信息共享获取相关信息。</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639"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51</w:t>
            </w:r>
          </w:p>
        </w:tc>
        <w:tc>
          <w:tcPr>
            <w:tcW w:w="5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水产苗种场（不含原种场）的水产苗种生产许可证核发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水产苗种生产许可证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《中华人民共和国渔业法》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设区的市、县级农业农村（渔业）部门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1.实现全国一网通办，申请人“最多跑一次”。2.不再要求申请人提供营业执照、法定代表人身份证等材料，通过部门间信息共享获取相关信息。</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区审批局负责优化审批服务；区农业农村局按照行业要求，履行监管职责。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84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52</w:t>
            </w:r>
          </w:p>
        </w:tc>
        <w:tc>
          <w:tcPr>
            <w:tcW w:w="5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文化和旅游部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互联网上网服务营业场所经营单位设立审批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网络文化经营许可证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《互联网上网服务营业场所管理条例》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县级以上地方文化和旅游部门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1.取消总量限制和布局要求。2.取消对互联网上网服务营业场所的计算机数量限制。3.不再要求申请人提供资金信用证明等材料。4.将审批时限由20个工作日压减至13个工作日。</w:t>
            </w:r>
          </w:p>
        </w:tc>
        <w:tc>
          <w:tcPr>
            <w:tcW w:w="27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1.开展“双随机、一公开”监管，发现违法违规行为要依法查处。2.加强信用监管，依法依规对失信主体开展失信惩戒。</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区审批局负责优化审批服务；市、区文化旅游局按照行业要求，履行监管职责。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21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53</w:t>
            </w:r>
          </w:p>
        </w:tc>
        <w:tc>
          <w:tcPr>
            <w:tcW w:w="5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游艺娱乐场所设立审批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娱乐经营许可证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《娱乐场所管理条例》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县级文化和旅游部门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1.取消总量限制和布局要求。2.将审批时限由20个工作日压减至13个工作日。</w:t>
            </w:r>
          </w:p>
        </w:tc>
        <w:tc>
          <w:tcPr>
            <w:tcW w:w="27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294"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54</w:t>
            </w:r>
          </w:p>
        </w:tc>
        <w:tc>
          <w:tcPr>
            <w:tcW w:w="55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歌舞娱乐场所设立审批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娱乐经营许可证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《娱乐场所管理条例》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县级文化和旅游部门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将审批时限由20个工作日压减至13个工作日。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 2.加强信用监管，依法依规对失信主体开展失信惩戒。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区审批局负责优化审批服务；市、区文化旅游局按照行业要求，履行监管职责。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567" w:hRule="atLeast"/>
          <w:jc w:val="center"/>
        </w:trPr>
        <w:tc>
          <w:tcPr>
            <w:tcW w:w="4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55</w:t>
            </w:r>
          </w:p>
        </w:tc>
        <w:tc>
          <w:tcPr>
            <w:tcW w:w="55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文艺表演团体设立审批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营业性演出许可证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《营业性演出管理条例》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县级文化和旅游部门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1.实现申请、审批全程网上办理。2.将审批时限由20个工作日压减至13个工作日。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1.开展“双随机、一公开”监管，发现违法违规行为要依法查处。2.加强信用监管，依法依规对失信主体开展失信惩戒。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区审批局负责优化审批服务；市、区文化旅游局按照行业要求，履行监管职责。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590" w:hRule="atLeast"/>
          <w:jc w:val="center"/>
        </w:trPr>
        <w:tc>
          <w:tcPr>
            <w:tcW w:w="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56</w:t>
            </w:r>
          </w:p>
        </w:tc>
        <w:tc>
          <w:tcPr>
            <w:tcW w:w="555"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国家卫生健康委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pStyle w:val="2"/>
              <w:rPr>
                <w:rFonts w:hint="eastAsia" w:ascii="宋体" w:hAnsi="宋体" w:eastAsia="宋体" w:cs="宋体"/>
                <w:i w:val="0"/>
                <w:iCs w:val="0"/>
                <w:color w:val="auto"/>
                <w:kern w:val="0"/>
                <w:sz w:val="20"/>
                <w:szCs w:val="20"/>
                <w:u w:val="none"/>
                <w:lang w:val="en-US" w:eastAsia="zh-CN" w:bidi="ar"/>
              </w:rPr>
            </w:pPr>
          </w:p>
          <w:p>
            <w:pPr>
              <w:pStyle w:val="3"/>
              <w:rPr>
                <w:rFonts w:hint="eastAsia" w:ascii="宋体" w:hAnsi="宋体" w:eastAsia="宋体" w:cs="宋体"/>
                <w:i w:val="0"/>
                <w:iCs w:val="0"/>
                <w:color w:val="auto"/>
                <w:kern w:val="0"/>
                <w:sz w:val="20"/>
                <w:szCs w:val="20"/>
                <w:u w:val="none"/>
                <w:lang w:val="en-US" w:eastAsia="zh-CN" w:bidi="ar"/>
              </w:rPr>
            </w:pPr>
          </w:p>
          <w:p>
            <w:pPr>
              <w:rPr>
                <w:rFonts w:hint="eastAsia" w:ascii="宋体" w:hAnsi="宋体" w:eastAsia="宋体" w:cs="宋体"/>
                <w:i w:val="0"/>
                <w:iCs w:val="0"/>
                <w:color w:val="auto"/>
                <w:kern w:val="0"/>
                <w:sz w:val="20"/>
                <w:szCs w:val="20"/>
                <w:u w:val="none"/>
                <w:lang w:val="en-US" w:eastAsia="zh-CN" w:bidi="ar"/>
              </w:rPr>
            </w:pPr>
          </w:p>
          <w:p>
            <w:pPr>
              <w:pStyle w:val="2"/>
              <w:rPr>
                <w:rFonts w:hint="eastAsia" w:ascii="宋体" w:hAnsi="宋体" w:eastAsia="宋体" w:cs="宋体"/>
                <w:i w:val="0"/>
                <w:iCs w:val="0"/>
                <w:color w:val="auto"/>
                <w:kern w:val="0"/>
                <w:sz w:val="20"/>
                <w:szCs w:val="20"/>
                <w:u w:val="none"/>
                <w:lang w:val="en-US" w:eastAsia="zh-CN" w:bidi="ar"/>
              </w:rPr>
            </w:pPr>
          </w:p>
          <w:p>
            <w:pPr>
              <w:rPr>
                <w:rFonts w:hint="eastAsia" w:ascii="宋体" w:hAnsi="宋体" w:eastAsia="宋体" w:cs="宋体"/>
                <w:i w:val="0"/>
                <w:iCs w:val="0"/>
                <w:color w:val="auto"/>
                <w:kern w:val="0"/>
                <w:sz w:val="20"/>
                <w:szCs w:val="20"/>
                <w:u w:val="none"/>
                <w:lang w:val="en-US" w:eastAsia="zh-CN" w:bidi="ar"/>
              </w:rPr>
            </w:pPr>
          </w:p>
          <w:p>
            <w:pPr>
              <w:pStyle w:val="2"/>
              <w:rPr>
                <w:rFonts w:hint="eastAsia" w:ascii="宋体" w:hAnsi="宋体" w:eastAsia="宋体" w:cs="宋体"/>
                <w:i w:val="0"/>
                <w:iCs w:val="0"/>
                <w:color w:val="auto"/>
                <w:kern w:val="0"/>
                <w:sz w:val="20"/>
                <w:szCs w:val="20"/>
                <w:u w:val="none"/>
                <w:lang w:val="en-US" w:eastAsia="zh-CN" w:bidi="ar"/>
              </w:rPr>
            </w:pPr>
          </w:p>
          <w:p>
            <w:pPr>
              <w:pStyle w:val="3"/>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国家卫生健康委</w:t>
            </w:r>
          </w:p>
        </w:tc>
        <w:tc>
          <w:tcPr>
            <w:tcW w:w="15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饮用水供水单位卫生许可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卫生许可证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《中华人民共和国传染病防治法》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不再要求申请人提供从业人员健康体检合格证明。</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1.开展“双随机、一公开”监管，发现违法违规行为要依法查处。2.强化部门协同监管，卫生健康部门向供水主管部门通报对饮用水供水单位的监督检查情况。3.畅通投诉举报渠道，依法及时处理投诉举报。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区审批局负责优化审批服务；区卫健局按照行业要求，履行监管职责。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3402" w:hRule="atLeast"/>
          <w:jc w:val="center"/>
        </w:trPr>
        <w:tc>
          <w:tcPr>
            <w:tcW w:w="496"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57</w:t>
            </w:r>
          </w:p>
        </w:tc>
        <w:tc>
          <w:tcPr>
            <w:tcW w:w="555"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放射源诊疗技术和医用辐射机构许可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放射诊疗许可证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《中华人民共和国职业病防治法》《放射性同位素与射线装置安全和防护条例》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将审批时限由20个工作日压减至10个工作日。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1.开展“双随机、一公开”监管，发现违法违规行为要依法查处并公开结果。2.依法及时处理投诉举报。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区审批局负责优化审批服务；区卫健局按照行业要求，履行监管职责。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809" w:hRule="atLeast"/>
          <w:jc w:val="center"/>
        </w:trPr>
        <w:tc>
          <w:tcPr>
            <w:tcW w:w="49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58</w:t>
            </w:r>
          </w:p>
        </w:tc>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母婴保健专项技术服务许可</w:t>
            </w:r>
          </w:p>
        </w:tc>
        <w:tc>
          <w:tcPr>
            <w:tcW w:w="84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母婴保健技术服务执业许可证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《中华人民共和国母婴保健法》《中华人民共和国母婴保健法实施办法》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将开展婚前医学检查、产前筛查的母婴保健专项技术服务机构的审批权限下放至县级卫生健康部门。</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区审批局负责优化审批服务；区卫健局按照行业要求，履行监管职责。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568" w:hRule="atLeast"/>
          <w:jc w:val="center"/>
        </w:trPr>
        <w:tc>
          <w:tcPr>
            <w:tcW w:w="4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59</w:t>
            </w:r>
          </w:p>
        </w:tc>
        <w:tc>
          <w:tcPr>
            <w:tcW w:w="55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医疗机构（三级医院、三级妇幼保健院、急救中心、急救站、临床检验中心、中外合资合作医疗机构、港澳台独资医疗机构）设置审批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设置医疗机构批准书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加快推广电子化审批。</w:t>
            </w:r>
          </w:p>
        </w:tc>
        <w:tc>
          <w:tcPr>
            <w:tcW w:w="27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区审批局负责优化审批服务；区卫健局按照行业要求，履行监管职责。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517" w:hRule="atLeast"/>
          <w:jc w:val="center"/>
        </w:trPr>
        <w:tc>
          <w:tcPr>
            <w:tcW w:w="496"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60</w:t>
            </w:r>
          </w:p>
        </w:tc>
        <w:tc>
          <w:tcPr>
            <w:tcW w:w="5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医疗机构（不含诊所）执业登记</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医疗机构执业许可证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县级以上地方卫生健康部门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1.取消医疗机构验资证明。2.实现医疗机构电子化注册登记。</w:t>
            </w:r>
          </w:p>
        </w:tc>
        <w:tc>
          <w:tcPr>
            <w:tcW w:w="27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61</w:t>
            </w:r>
          </w:p>
        </w:tc>
        <w:tc>
          <w:tcPr>
            <w:tcW w:w="5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烟花爆竹经营（零售）许可证核发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烟花爆竹经营（零售）许可证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《烟花爆竹安全管理条例》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县级应急管理部门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1.实现申请、审批全程网上办理。2.将审批时限由20个工作日压减至15个工作日。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1.开展“双随机、一公开”监管，发现违法违规行为要依法严查重处并公开结果。2.加强信用监管，依法向社会公布烟花爆竹经营（零售）企业信用状况，依法依规对失信主体开展失信惩戒。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区审批局负责优化审批服务；区应急管理局按照行业要求，履行监管职责。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75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62</w:t>
            </w:r>
          </w:p>
        </w:tc>
        <w:tc>
          <w:tcPr>
            <w:tcW w:w="555"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危险化学品经营许可证核发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危险化学品经营许可证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《危险化学品安全管理条例》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设区的市、县级应急管理部门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1.实现申请、审批全程网上办理。2.将审批时限由30个工作日压减至20个工作日。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1.开展“双随机、一公开”监管，发现违法违规行为要依法严查重处并公开结果。2.加强信用监管，依法向社会公布危险化学品经营企业信用状况，依法依规对失信主体开展失信惩戒。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区审批局负责优化审批服务，市、区应急管理局按照行业要求，履行监管职责。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572" w:hRule="atLeast"/>
          <w:jc w:val="center"/>
        </w:trPr>
        <w:tc>
          <w:tcPr>
            <w:tcW w:w="4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63</w:t>
            </w:r>
          </w:p>
        </w:tc>
        <w:tc>
          <w:tcPr>
            <w:tcW w:w="5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市场监管总局</w:t>
            </w:r>
          </w:p>
        </w:tc>
        <w:tc>
          <w:tcPr>
            <w:tcW w:w="158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承担国家法定计量检定机构任务授权审批</w:t>
            </w:r>
          </w:p>
        </w:tc>
        <w:tc>
          <w:tcPr>
            <w:tcW w:w="8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计量授权证书</w:t>
            </w:r>
          </w:p>
        </w:tc>
        <w:tc>
          <w:tcPr>
            <w:tcW w:w="9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《中华人民共和国计量法》</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县级以上市场监管部门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c>
          <w:tcPr>
            <w:tcW w:w="117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新版事项库审批层级在市级。市市场监管局负责优化审批服务；市、区市场监管局按照行业要求，履行监管职责。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978" w:hRule="atLeast"/>
          <w:jc w:val="center"/>
        </w:trPr>
        <w:tc>
          <w:tcPr>
            <w:tcW w:w="49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64</w:t>
            </w:r>
          </w:p>
        </w:tc>
        <w:tc>
          <w:tcPr>
            <w:tcW w:w="555"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市场监管总局</w:t>
            </w:r>
          </w:p>
        </w:tc>
        <w:tc>
          <w:tcPr>
            <w:tcW w:w="1581"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食品经营许可（除仅销售预包装食品外）</w:t>
            </w:r>
          </w:p>
        </w:tc>
        <w:tc>
          <w:tcPr>
            <w:tcW w:w="84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食品经营许可证</w:t>
            </w:r>
          </w:p>
        </w:tc>
        <w:tc>
          <w:tcPr>
            <w:tcW w:w="915" w:type="dxa"/>
            <w:vMerge w:val="restar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《中华人民共和国食品安全法》</w:t>
            </w:r>
          </w:p>
        </w:tc>
        <w:tc>
          <w:tcPr>
            <w:tcW w:w="934"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县级以上地方市场监管部门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1.餐饮服务经营者销售预包装食品的，不需要申请在许可证上标注销售类食品经营项目。2.不再要求申请人提供营业执照复印件。</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1.严格执行有关法律法规和标准，发挥网格化管理的优势，发现违法违规行为要依法严查重处并公开结果。2.加强信用监管，依法向社会公布食品经营企业信用状况，依法依规对失信主体开展失信惩戒。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区市场监管局负责优化审批服务；市、区市场监管局按照行业要求，履行监管职责。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3713" w:hRule="atLeast"/>
          <w:jc w:val="center"/>
        </w:trPr>
        <w:tc>
          <w:tcPr>
            <w:tcW w:w="496"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65</w:t>
            </w:r>
          </w:p>
        </w:tc>
        <w:tc>
          <w:tcPr>
            <w:tcW w:w="555"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食品（含食品添加剂）生产许可</w:t>
            </w:r>
          </w:p>
        </w:tc>
        <w:tc>
          <w:tcPr>
            <w:tcW w:w="847"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食品生产许可证</w:t>
            </w:r>
          </w:p>
        </w:tc>
        <w:tc>
          <w:tcPr>
            <w:tcW w:w="915" w:type="dxa"/>
            <w:vMerge w:val="continue"/>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93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除特殊食品（包括保健食品、婴幼儿配方食品和特殊医学用途配方食品）、婴幼儿辅助食品、食盐外，将审批权限由省级市场监管部门下放至设区的市、县级市场监管部门。2.实现申请、审批全程网上办理。3.不再要求申请人提供营业执照、食品安全管理制度文本等材料，但申请特殊食品生产许可的应提交与所生产食品相适应的生产质量管理体系文件。4.将审批时限由20个工作日压减至10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大信息公示力度，向社会公开食品生产许可信息。2.加强日常监督检查，根据食品生产企业风险分级情况确定检查频次，开展监督检查并向社会公开检查结果。3.加强信用监管，依法依规对失信主体开展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市行政审批服务局、市市场监管局负责优化审批服务；市、区市场监管局按照行业要求，履行监管职责。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699" w:hRule="atLeast"/>
          <w:jc w:val="center"/>
        </w:trPr>
        <w:tc>
          <w:tcPr>
            <w:tcW w:w="49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66</w:t>
            </w:r>
          </w:p>
        </w:tc>
        <w:tc>
          <w:tcPr>
            <w:tcW w:w="555"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pStyle w:val="2"/>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体育总局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c>
          <w:tcPr>
            <w:tcW w:w="15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经营高危险性体育项目许可</w:t>
            </w:r>
          </w:p>
        </w:tc>
        <w:tc>
          <w:tcPr>
            <w:tcW w:w="8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经营高危险性体育项目许可证</w:t>
            </w:r>
          </w:p>
        </w:tc>
        <w:tc>
          <w:tcPr>
            <w:tcW w:w="9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《全民健身条例》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县级以上地方体育部门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1.推广全程网上办理，推进体育领域信息数据共享应用。2.将审批时限由20个工作日压减至15个工作日。</w:t>
            </w:r>
          </w:p>
        </w:tc>
        <w:tc>
          <w:tcPr>
            <w:tcW w:w="27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新版事项库审批层级在区级。区教体局负责优化审批服务，并按照行业要求，履行监管职责。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9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67</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设立健身气功站点审批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健身气功站点注册证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《国务院对确需保留的行政审批项目设定行政许可的决定》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县级体育部门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27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区教体局负责优化审批服务，并按照行业要求，履行监管职责。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36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68</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新闻出版署</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出版物零售单位设立、变更审批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出版物经营许可证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《出版管理条例》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县级新闻出版部门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1.开展“双随机、一公开”监管，发现违法违规行为要依法查处并公开结果。2.依法及时处理投诉举报。3.推进部门间信息共享应用。</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区审批局负责优化审批服务；区委宣传部按照行业要求，履行监管职责。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1812"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69</w:t>
            </w:r>
          </w:p>
        </w:tc>
        <w:tc>
          <w:tcPr>
            <w:tcW w:w="555" w:type="dxa"/>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国家烟草局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烟草专卖零售许可证核发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烟草专卖零售许可证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《中华人民共和国烟草专卖法》《中华人民共和国烟草专卖法实施条例》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设区的市、县级烟草部门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将审批时限由15个工作日压减至8个工作日。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1.开展“双随机、一公开”监管，加强对持证主体合规经营的监管，发现违法违规行为要依法查处并公开结果。2.取缔无证经营主体。</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区烟草专卖局负责优化审批服务，并按照行业要求，履行监管职责。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469"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18"/>
                <w:szCs w:val="18"/>
                <w:u w:val="none"/>
                <w:lang w:val="en-US" w:eastAsia="zh-CN" w:bidi="ar"/>
              </w:rPr>
              <w:t>70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国家药监局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药品零售企业许可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药品经营许可证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《中华人民共和国药品管理法》《中华人民共和国药品管理法实施条例》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设区的市、县级药监部门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不再要求申请人提供营业执照等材料。</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1.落实“四个最严”要求，制定年度监管计划，突出监管重点，强化风险控制。2.通过日常监管督促企业不断完善、改进质量管理体系，持续合法合规经营。3.对违法违规行为，依法严厉查处并公开曝光。</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pacing w:val="-11"/>
                <w:kern w:val="0"/>
                <w:sz w:val="20"/>
                <w:szCs w:val="20"/>
                <w:u w:val="none"/>
                <w:lang w:val="en-US" w:eastAsia="zh-CN" w:bidi="ar"/>
              </w:rPr>
              <w:t>区审批局负责优化审批服务；区市场监管局按照行业要求，履行监管职责。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389"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71</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国家电影局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电影放映单位设立审批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电影放映经营许可证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《中华人民共和国电影产业促进法》《电影管理条例》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县级电影主管部门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实行申请材料网上预审。</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1.开展“双随机、一公开”监管，畅通投诉举报渠道。2.发挥行业协会自律作用。</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区审批局负责优化审批服务；区委宣传部按照行业要求，履行监管职责。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81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72</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省市场监督管理局</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小餐饮经营许可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小餐饮经营许可证</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《陕西省食品小作坊小餐饮及摊贩管理条例》</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县级市场监管部门</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全程网上办理。2.缩短审批时间，将原审批时限由10个工作日减至8个工作日。3.取消《陕西省小餐饮管理办法》第七条第三款中“对加工经营场所面积≤20平米的小餐饮，应在《小餐饮经营许可证》经营范围栏中严格控制加工经营项目”。</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1.由第三方机构对小餐饮进行量化等级评定。2.按照餐饮风险管理办法规定，加强对中、高风险小餐饮服务单位的日常监管。</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区市场监管局负责优化审批服务，并按照行业要求，履行监管职责。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28" w:type="dxa"/>
            <w:bottom w:w="57" w:type="dxa"/>
            <w:right w:w="28" w:type="dxa"/>
          </w:tblCellMar>
        </w:tblPrEx>
        <w:trPr>
          <w:trHeight w:val="2392"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73</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食品小作坊许可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食品小作坊生产许可证</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1.实现申请、审批全程网上办理。2.缩短受理时限，将原许可时限自受理之日起10个工作日减至8个工作日。</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1.加大信息公示力度，向社会公示食品小作坊许可信息。2.加强日常监管监督检查及违法处罚力度，检查结果向社会公开公示。3.加强信用监管，依法依规对失信主体开展失信惩戒。</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20"/>
                <w:szCs w:val="20"/>
                <w:u w:val="none"/>
              </w:rPr>
            </w:pPr>
          </w:p>
        </w:tc>
      </w:tr>
    </w:tbl>
    <w:p>
      <w:pPr>
        <w:pStyle w:val="6"/>
        <w:ind w:left="0" w:leftChars="0" w:firstLine="0" w:firstLineChars="0"/>
        <w:rPr>
          <w:rFonts w:hint="eastAsia"/>
          <w:spacing w:val="0"/>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06C3A"/>
    <w:rsid w:val="04A951CF"/>
    <w:rsid w:val="0F9B76EE"/>
    <w:rsid w:val="37C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eastAsia="楷体_GB2312"/>
    </w:rPr>
  </w:style>
  <w:style w:type="paragraph" w:styleId="3">
    <w:name w:val="index 5"/>
    <w:basedOn w:val="1"/>
    <w:next w:val="1"/>
    <w:qFormat/>
    <w:uiPriority w:val="0"/>
    <w:pPr>
      <w:ind w:left="1680"/>
    </w:pPr>
  </w:style>
  <w:style w:type="paragraph" w:styleId="4">
    <w:name w:val="Body Text Indent"/>
    <w:basedOn w:val="1"/>
    <w:qFormat/>
    <w:uiPriority w:val="99"/>
    <w:pPr>
      <w:tabs>
        <w:tab w:val="left" w:pos="3040"/>
      </w:tabs>
      <w:ind w:firstLine="645"/>
    </w:pPr>
    <w:rPr>
      <w:kern w:val="0"/>
      <w:sz w:val="20"/>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style>
  <w:style w:type="character" w:customStyle="1" w:styleId="9">
    <w:name w:val="font15"/>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2021-12-30T02:56:00Z</dcterms:created>
  <dc:creator>大型食肉宠物</dc:creator>
  <cp:lastModifiedBy>大型食肉宠物</cp:lastModifiedBy>
  <dcterms:modified xsi:type="dcterms:W3CDTF">2021-12-30T02:57:09Z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C6CEEAD8C85C4D08A75F09660610C796</vt:lpwstr>
  </property>
</Properties>
</file>