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附件1</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健康汉</w:t>
      </w:r>
      <w:r>
        <w:rPr>
          <w:rFonts w:hint="eastAsia" w:ascii="方正小标宋简体" w:hAnsi="方正小标宋简体" w:eastAsia="方正小标宋简体" w:cs="方正小标宋简体"/>
          <w:sz w:val="44"/>
          <w:szCs w:val="44"/>
          <w:lang w:val="en-US" w:eastAsia="zh-CN"/>
        </w:rPr>
        <w:t>台</w:t>
      </w:r>
      <w:r>
        <w:rPr>
          <w:rFonts w:hint="eastAsia" w:ascii="方正小标宋简体" w:hAnsi="方正小标宋简体" w:eastAsia="方正小标宋简体" w:cs="方正小标宋简体"/>
          <w:sz w:val="44"/>
          <w:szCs w:val="44"/>
        </w:rPr>
        <w:t>行动（2020—2030年）</w:t>
      </w:r>
    </w:p>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（二）基本路径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二、主要指标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三、重大行动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（一）健康知识普及行动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（二）合理膳食行动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（三）全民健身行动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（四）控烟限酒行动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（五）心理健康促进行动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（六）健康环境促进行动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（七）中医药健康促进行动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（八）妇幼健康促进行动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（九）青少年健康促进行动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（十）职业健康保护行动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（十一）老年健康促进行动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（十二）残疾预防健康行动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（十三）重点慢性病防治行动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（十四）传染病防控行动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（十五）地方病防控行动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（十六）健康细胞示范建设行动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（十七）医养在汉</w:t>
      </w:r>
      <w:r>
        <w:rPr>
          <w:rFonts w:hint="eastAsia" w:ascii="楷体_GB2312" w:hAnsi="楷体_GB2312" w:eastAsia="楷体_GB2312" w:cs="楷体_GB2312"/>
          <w:lang w:val="en-US" w:eastAsia="zh-CN"/>
        </w:rPr>
        <w:t>台</w:t>
      </w:r>
      <w:r>
        <w:rPr>
          <w:rFonts w:hint="eastAsia" w:ascii="楷体_GB2312" w:hAnsi="楷体_GB2312" w:eastAsia="楷体_GB2312" w:cs="楷体_GB2312"/>
        </w:rPr>
        <w:t>融合发展行动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（十八）健康保障完善行动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（二）建立考评机制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（三）健全支撑体系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（四）加强宣传引导</w:t>
      </w:r>
    </w:p>
    <w:p/>
    <w:p>
      <w:pPr>
        <w:keepNext w:val="0"/>
        <w:keepLines w:val="0"/>
        <w:pageBreakBefore w:val="0"/>
        <w:widowControl w:val="0"/>
        <w:kinsoku/>
        <w:wordWrap/>
        <w:overflowPunct/>
        <w:topLinePunct w:val="0"/>
        <w:autoSpaceDE/>
        <w:autoSpaceDN/>
        <w:bidi w:val="0"/>
        <w:adjustRightInd/>
        <w:snapToGrid/>
        <w:ind w:firstLine="640" w:firstLineChars="200"/>
        <w:textAlignment w:val="auto"/>
      </w:pPr>
      <w:r>
        <w:br w:type="page"/>
      </w:r>
      <w:r>
        <w:rPr>
          <w:rFonts w:hint="eastAsia" w:ascii="黑体" w:hAnsi="黑体" w:eastAsia="黑体" w:cs="黑体"/>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以习近平新时代中国特色社会主义思想为指导，全面贯彻党的十九大和十九届二中、三中、四中全会精神，坚持以人民为中心的发展思想，贯彻新时代卫生与健康工作方针，加快推动卫生健康理念、服务方式从以治病为中心转变为以人民健康为中心，针对重大疾病和突出问题，聚焦重点人群，结合汉</w:t>
      </w:r>
      <w:r>
        <w:rPr>
          <w:rFonts w:hint="eastAsia"/>
          <w:lang w:val="en-US" w:eastAsia="zh-CN"/>
        </w:rPr>
        <w:t>台</w:t>
      </w:r>
      <w:r>
        <w:t>实际，统筹实施一批重大行动，普及健康生活、建设健康环境、优化健康服务、完善健康保障、发展健康产业，积极构建大卫生大健康格局，全方位、全周期维护和保障人民健康，显著提升群众健康水平，为建设健康汉</w:t>
      </w:r>
      <w:r>
        <w:rPr>
          <w:rFonts w:hint="eastAsia"/>
          <w:lang w:val="en-US" w:eastAsia="zh-CN"/>
        </w:rPr>
        <w:t>台</w:t>
      </w:r>
      <w:r>
        <w:t>奠定坚实基础。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（二）基本路径。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普及健康知识。把普及健康知识、提升居民健康素养作为增进全民健康的前提，倡导“每个人是自己健康第一责任人”的理念，引导居民自主自律，养成符合自身和家庭特点的健康生活方式，让健康知识和理念、健康生活方式与行为、健康技能成为居民普遍具备的素质和能力，实现健康素养人人有、健康生活少生病。</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完善健康策略。坚持把健康摆在优先发展的战略地位，围绕影响健康的突出因素，根据不同区域、重点人群、重大疾病的特点，有针对性地加强健康教育与促进，建立完善健康促进政策体系，把健康体现在公共政策制定实施的各个方面，融入到城</w:t>
      </w:r>
      <w:r>
        <w:rPr>
          <w:rFonts w:hint="eastAsia"/>
          <w:lang w:val="en-US" w:eastAsia="zh-CN"/>
        </w:rPr>
        <w:t>乡</w:t>
      </w:r>
      <w:r>
        <w:t>规划、建设、治理的全过程，实现健康政策处处体现、健康促进重点突出。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优化健康服务。实行防治结合、联防联控、群防群控，对主要健康问题及影响因素尽早采取有效干预措施，完善防治策略、制度安排和政策保障，优化要素配置和服务供给，提供系统连续的预防、治疗、康复、健康促进一体化服务，提升健康服务的公平性、可及性、有效性，实现早发现、早诊断、早治疗、早康复。</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参与健康行动。倡导每个人参与健康行动，养成符合自身和家庭特点的健康生活方式，合理膳食、适当运动、控制体重、控烟限酒、心理平衡。鼓励和引导单位、社区（村）、家庭和个人行动起来，形成政府积极主导、社会广泛参与、个人自主自律的良好局面，实现健康汉</w:t>
      </w:r>
      <w:r>
        <w:rPr>
          <w:rFonts w:hint="eastAsia"/>
          <w:lang w:val="en-US" w:eastAsia="zh-CN"/>
        </w:rPr>
        <w:t>台</w:t>
      </w:r>
      <w:r>
        <w:t>行动人人参与、人人尽力、人人享有。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（三）总体目标。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到2022年，全</w:t>
      </w:r>
      <w:r>
        <w:rPr>
          <w:rFonts w:hint="eastAsia"/>
          <w:lang w:val="en-US" w:eastAsia="zh-CN"/>
        </w:rPr>
        <w:t>区</w:t>
      </w:r>
      <w:r>
        <w:t>健康优先的制度设计和政策体系基本建立，影响健康的突出问题得到有效解决，人民健康素养水平持续提高，人人享有基本医疗卫生服务和基本体育健身服务，绿色安全的健康环境基本形成，医养体系基本形成，健康生活方式加快推广，重点人群健康状况显著改善，居民主要健康指标明显提升，实现健康汉</w:t>
      </w:r>
      <w:r>
        <w:rPr>
          <w:rFonts w:hint="eastAsia"/>
          <w:lang w:val="en-US" w:eastAsia="zh-CN"/>
        </w:rPr>
        <w:t>台</w:t>
      </w:r>
      <w:r>
        <w:t>行动阶段性目标。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到2030年，全</w:t>
      </w:r>
      <w:r>
        <w:rPr>
          <w:rFonts w:hint="eastAsia"/>
          <w:lang w:val="en-US" w:eastAsia="zh-CN"/>
        </w:rPr>
        <w:t>区</w:t>
      </w:r>
      <w:r>
        <w:t>健康优先的制度设计和政策体系更加完善，健康生活方式全面普及，健康服务质量、保障能力和全民健康水平显著提高，人人享有高质量的健康服务和高水平的健康保障，人民更加健康长寿，环境更加健康优美，社会更加健康和谐，健康产业繁荣发展，医养体系全业态覆盖，各项健康指标大幅提升，建成与汉</w:t>
      </w:r>
      <w:r>
        <w:rPr>
          <w:rFonts w:hint="eastAsia"/>
          <w:lang w:val="en-US" w:eastAsia="zh-CN"/>
        </w:rPr>
        <w:t>台</w:t>
      </w:r>
      <w:r>
        <w:t>经济社会发展相协调的全民健康服务和治理体系，实现健康汉</w:t>
      </w:r>
      <w:r>
        <w:rPr>
          <w:rFonts w:hint="eastAsia"/>
          <w:lang w:val="en-US" w:eastAsia="zh-CN"/>
        </w:rPr>
        <w:t>台</w:t>
      </w:r>
      <w:r>
        <w:t>行动的各项目标任务。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主要指标</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小标宋简体"/>
          <w:bCs/>
          <w:kern w:val="0"/>
          <w:sz w:val="36"/>
          <w:szCs w:val="36"/>
        </w:rPr>
      </w:pPr>
      <w:r>
        <w:rPr>
          <w:rFonts w:eastAsia="方正小标宋简体"/>
          <w:bCs/>
          <w:kern w:val="0"/>
          <w:sz w:val="36"/>
          <w:szCs w:val="36"/>
        </w:rPr>
        <w:t>健康汉</w:t>
      </w:r>
      <w:r>
        <w:rPr>
          <w:rFonts w:hint="eastAsia" w:eastAsia="方正小标宋简体"/>
          <w:bCs/>
          <w:kern w:val="0"/>
          <w:sz w:val="36"/>
          <w:szCs w:val="36"/>
          <w:lang w:eastAsia="zh-CN"/>
        </w:rPr>
        <w:t>台</w:t>
      </w:r>
      <w:r>
        <w:rPr>
          <w:rFonts w:eastAsia="方正小标宋简体"/>
          <w:bCs/>
          <w:kern w:val="0"/>
          <w:sz w:val="36"/>
          <w:szCs w:val="36"/>
        </w:rPr>
        <w:t>行动主要指标</w:t>
      </w:r>
    </w:p>
    <w:tbl>
      <w:tblPr>
        <w:tblStyle w:val="5"/>
        <w:tblW w:w="9430" w:type="dxa"/>
        <w:jc w:val="center"/>
        <w:tblLayout w:type="fixed"/>
        <w:tblCellMar>
          <w:top w:w="15" w:type="dxa"/>
          <w:left w:w="15" w:type="dxa"/>
          <w:bottom w:w="15" w:type="dxa"/>
          <w:right w:w="15" w:type="dxa"/>
        </w:tblCellMar>
      </w:tblPr>
      <w:tblGrid>
        <w:gridCol w:w="1100"/>
        <w:gridCol w:w="743"/>
        <w:gridCol w:w="3295"/>
        <w:gridCol w:w="1050"/>
        <w:gridCol w:w="1050"/>
        <w:gridCol w:w="1050"/>
        <w:gridCol w:w="50"/>
        <w:gridCol w:w="1072"/>
        <w:gridCol w:w="20"/>
      </w:tblGrid>
      <w:tr>
        <w:tblPrEx>
          <w:tblCellMar>
            <w:top w:w="15" w:type="dxa"/>
            <w:left w:w="15" w:type="dxa"/>
            <w:bottom w:w="15" w:type="dxa"/>
            <w:right w:w="15" w:type="dxa"/>
          </w:tblCellMar>
        </w:tblPrEx>
        <w:trPr>
          <w:trHeight w:val="340" w:hRule="exact"/>
          <w:tblHeader/>
          <w:jc w:val="center"/>
        </w:trPr>
        <w:tc>
          <w:tcPr>
            <w:tcW w:w="1100" w:type="dxa"/>
            <w:vMerge w:val="restart"/>
            <w:tcBorders>
              <w:top w:val="single" w:color="auto" w:sz="4" w:space="0"/>
              <w:left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领域</w:t>
            </w:r>
          </w:p>
        </w:tc>
        <w:tc>
          <w:tcPr>
            <w:tcW w:w="743" w:type="dxa"/>
            <w:vMerge w:val="restar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bCs/>
                <w:kern w:val="0"/>
                <w:sz w:val="24"/>
              </w:rPr>
              <w:t>序号</w:t>
            </w:r>
          </w:p>
        </w:tc>
        <w:tc>
          <w:tcPr>
            <w:tcW w:w="3295" w:type="dxa"/>
            <w:vMerge w:val="restar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sz w:val="24"/>
              </w:rPr>
            </w:pPr>
            <w:r>
              <w:rPr>
                <w:kern w:val="0"/>
                <w:sz w:val="24"/>
              </w:rPr>
              <w:t>指标</w:t>
            </w:r>
          </w:p>
        </w:tc>
        <w:tc>
          <w:tcPr>
            <w:tcW w:w="1050" w:type="dxa"/>
            <w:vMerge w:val="restar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指标性质</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sz w:val="24"/>
              </w:rPr>
              <w:t>基期数据</w:t>
            </w:r>
          </w:p>
        </w:tc>
        <w:tc>
          <w:tcPr>
            <w:tcW w:w="2192" w:type="dxa"/>
            <w:gridSpan w:val="4"/>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健康汉</w:t>
            </w:r>
            <w:r>
              <w:rPr>
                <w:rFonts w:hint="eastAsia"/>
                <w:kern w:val="0"/>
                <w:sz w:val="24"/>
                <w:lang w:eastAsia="zh-CN"/>
              </w:rPr>
              <w:t>台</w:t>
            </w:r>
            <w:r>
              <w:rPr>
                <w:kern w:val="0"/>
                <w:sz w:val="24"/>
              </w:rPr>
              <w:t>行动目标</w:t>
            </w:r>
          </w:p>
        </w:tc>
      </w:tr>
      <w:tr>
        <w:tblPrEx>
          <w:tblCellMar>
            <w:top w:w="15" w:type="dxa"/>
            <w:left w:w="15" w:type="dxa"/>
            <w:bottom w:w="15" w:type="dxa"/>
            <w:right w:w="15" w:type="dxa"/>
          </w:tblCellMar>
        </w:tblPrEx>
        <w:trPr>
          <w:trHeight w:val="340" w:hRule="exact"/>
          <w:tblHeader/>
          <w:jc w:val="center"/>
        </w:trPr>
        <w:tc>
          <w:tcPr>
            <w:tcW w:w="1100" w:type="dxa"/>
            <w:vMerge w:val="continue"/>
            <w:tcBorders>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743"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3295"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sz w:val="24"/>
              </w:rPr>
              <w:t>2018年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2022年</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2030年</w:t>
            </w:r>
          </w:p>
        </w:tc>
      </w:tr>
      <w:tr>
        <w:tblPrEx>
          <w:tblCellMar>
            <w:top w:w="15" w:type="dxa"/>
            <w:left w:w="15" w:type="dxa"/>
            <w:bottom w:w="15" w:type="dxa"/>
            <w:right w:w="15" w:type="dxa"/>
          </w:tblCellMar>
        </w:tblPrEx>
        <w:trPr>
          <w:trHeight w:val="454" w:hRule="exact"/>
          <w:tblHeader/>
          <w:jc w:val="center"/>
        </w:trPr>
        <w:tc>
          <w:tcPr>
            <w:tcW w:w="1100"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kern w:val="0"/>
                <w:sz w:val="24"/>
              </w:rPr>
            </w:pPr>
            <w:r>
              <w:rPr>
                <w:kern w:val="0"/>
                <w:sz w:val="24"/>
              </w:rPr>
              <w:t xml:space="preserve">(一) </w:t>
            </w:r>
          </w:p>
          <w:p>
            <w:pPr>
              <w:spacing w:line="300" w:lineRule="exact"/>
              <w:jc w:val="center"/>
              <w:rPr>
                <w:kern w:val="0"/>
                <w:sz w:val="24"/>
              </w:rPr>
            </w:pPr>
            <w:r>
              <w:rPr>
                <w:kern w:val="0"/>
                <w:sz w:val="24"/>
              </w:rPr>
              <w:t>健康知识</w:t>
            </w:r>
          </w:p>
          <w:p>
            <w:pPr>
              <w:spacing w:line="300" w:lineRule="exact"/>
              <w:jc w:val="center"/>
              <w:rPr>
                <w:sz w:val="24"/>
              </w:rPr>
            </w:pPr>
            <w:r>
              <w:rPr>
                <w:kern w:val="0"/>
                <w:sz w:val="24"/>
              </w:rPr>
              <w:t>普及行动</w:t>
            </w:r>
          </w:p>
        </w:tc>
        <w:tc>
          <w:tcPr>
            <w:tcW w:w="743"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center"/>
              <w:textAlignment w:val="center"/>
              <w:rPr>
                <w:sz w:val="24"/>
              </w:rPr>
            </w:pPr>
            <w:r>
              <w:rPr>
                <w:kern w:val="0"/>
                <w:sz w:val="24"/>
              </w:rPr>
              <w:t>1</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居民健康素养水平（%）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default" w:eastAsia="仿宋_GB2312"/>
                <w:sz w:val="24"/>
                <w:lang w:val="en-US" w:eastAsia="zh-CN"/>
              </w:rPr>
            </w:pPr>
            <w:r>
              <w:rPr>
                <w:rFonts w:hint="eastAsia"/>
                <w:sz w:val="24"/>
                <w:lang w:val="en-US" w:eastAsia="zh-CN"/>
              </w:rPr>
              <w:t>17.27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≥19</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≥30</w:t>
            </w:r>
          </w:p>
        </w:tc>
      </w:tr>
      <w:tr>
        <w:tblPrEx>
          <w:tblCellMar>
            <w:top w:w="15" w:type="dxa"/>
            <w:left w:w="15" w:type="dxa"/>
            <w:bottom w:w="15" w:type="dxa"/>
            <w:right w:w="15" w:type="dxa"/>
          </w:tblCellMar>
        </w:tblPrEx>
        <w:trPr>
          <w:trHeight w:val="454" w:hRule="exact"/>
          <w:tblHeader/>
          <w:jc w:val="center"/>
        </w:trPr>
        <w:tc>
          <w:tcPr>
            <w:tcW w:w="1100" w:type="dxa"/>
            <w:vMerge w:val="continue"/>
            <w:tcBorders>
              <w:top w:val="single" w:color="auto" w:sz="4" w:space="0"/>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个人定期记录身心健康状况</w:t>
            </w:r>
          </w:p>
        </w:tc>
        <w:tc>
          <w:tcPr>
            <w:tcW w:w="105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34" w:hRule="atLeast"/>
          <w:tblHeader/>
          <w:jc w:val="center"/>
        </w:trPr>
        <w:tc>
          <w:tcPr>
            <w:tcW w:w="1100" w:type="dxa"/>
            <w:vMerge w:val="continue"/>
            <w:tcBorders>
              <w:top w:val="single" w:color="auto" w:sz="4" w:space="0"/>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个人了解掌握基本中医药健康知识</w:t>
            </w:r>
          </w:p>
        </w:tc>
        <w:tc>
          <w:tcPr>
            <w:tcW w:w="1050" w:type="dxa"/>
            <w:vMerge w:val="continue"/>
            <w:tcBorders>
              <w:left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437" w:hRule="atLeast"/>
          <w:tblHeader/>
          <w:jc w:val="center"/>
        </w:trPr>
        <w:tc>
          <w:tcPr>
            <w:tcW w:w="1100" w:type="dxa"/>
            <w:vMerge w:val="continue"/>
            <w:tcBorders>
              <w:top w:val="single" w:color="auto" w:sz="4" w:space="0"/>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3"/>
                <w:kern w:val="0"/>
                <w:sz w:val="24"/>
              </w:rPr>
              <w:t>居民掌握基本急救知识和技能</w:t>
            </w:r>
          </w:p>
        </w:tc>
        <w:tc>
          <w:tcPr>
            <w:tcW w:w="1050" w:type="dxa"/>
            <w:vMerge w:val="continue"/>
            <w:tcBorders>
              <w:left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51" w:hRule="atLeast"/>
          <w:tblHeader/>
          <w:jc w:val="center"/>
        </w:trPr>
        <w:tc>
          <w:tcPr>
            <w:tcW w:w="1100" w:type="dxa"/>
            <w:vMerge w:val="continue"/>
            <w:tcBorders>
              <w:top w:val="single" w:color="auto" w:sz="4" w:space="0"/>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医务人员掌握与岗位相适应的健康科普知识，并在诊疗过程中主动提供健康指导</w:t>
            </w:r>
          </w:p>
        </w:tc>
        <w:tc>
          <w:tcPr>
            <w:tcW w:w="105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76" w:hRule="atLeast"/>
          <w:tblHeader/>
          <w:jc w:val="center"/>
        </w:trPr>
        <w:tc>
          <w:tcPr>
            <w:tcW w:w="1100" w:type="dxa"/>
            <w:vMerge w:val="continue"/>
            <w:tcBorders>
              <w:top w:val="single" w:color="auto" w:sz="4" w:space="0"/>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建立并完善健康科普专家库和资源库，构建健康科普知识发布和传播机制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实现</w:t>
            </w:r>
          </w:p>
        </w:tc>
      </w:tr>
      <w:tr>
        <w:tblPrEx>
          <w:tblCellMar>
            <w:top w:w="15" w:type="dxa"/>
            <w:left w:w="15" w:type="dxa"/>
            <w:bottom w:w="15" w:type="dxa"/>
            <w:right w:w="15" w:type="dxa"/>
          </w:tblCellMar>
        </w:tblPrEx>
        <w:trPr>
          <w:trHeight w:val="965" w:hRule="atLeast"/>
          <w:tblHeader/>
          <w:jc w:val="center"/>
        </w:trPr>
        <w:tc>
          <w:tcPr>
            <w:tcW w:w="1100" w:type="dxa"/>
            <w:vMerge w:val="continue"/>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建立医疗机构和医务人员开展健康教育和健康促进的绩效考核机制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实现</w:t>
            </w:r>
          </w:p>
        </w:tc>
      </w:tr>
      <w:tr>
        <w:tblPrEx>
          <w:tblCellMar>
            <w:top w:w="15" w:type="dxa"/>
            <w:left w:w="15" w:type="dxa"/>
            <w:bottom w:w="15" w:type="dxa"/>
            <w:right w:w="15" w:type="dxa"/>
          </w:tblCellMar>
        </w:tblPrEx>
        <w:trPr>
          <w:trHeight w:val="454" w:hRule="exac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（二）</w:t>
            </w:r>
          </w:p>
          <w:p>
            <w:pPr>
              <w:spacing w:line="300" w:lineRule="exact"/>
              <w:jc w:val="center"/>
              <w:textAlignment w:val="center"/>
              <w:rPr>
                <w:kern w:val="0"/>
                <w:sz w:val="24"/>
              </w:rPr>
            </w:pPr>
            <w:r>
              <w:rPr>
                <w:kern w:val="0"/>
                <w:sz w:val="24"/>
              </w:rPr>
              <w:t>合理膳食</w:t>
            </w:r>
          </w:p>
          <w:p>
            <w:pPr>
              <w:spacing w:line="300" w:lineRule="exact"/>
              <w:jc w:val="center"/>
              <w:textAlignment w:val="center"/>
              <w:rPr>
                <w:sz w:val="24"/>
              </w:rPr>
            </w:pPr>
            <w:r>
              <w:rPr>
                <w:kern w:val="0"/>
                <w:sz w:val="24"/>
              </w:rPr>
              <w:t>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成人肥胖增长率（%）</w:t>
            </w:r>
          </w:p>
        </w:tc>
        <w:tc>
          <w:tcPr>
            <w:tcW w:w="105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持续减缓</w:t>
            </w:r>
          </w:p>
        </w:tc>
      </w:tr>
      <w:tr>
        <w:tblPrEx>
          <w:tblCellMar>
            <w:top w:w="15" w:type="dxa"/>
            <w:left w:w="15" w:type="dxa"/>
            <w:bottom w:w="15" w:type="dxa"/>
            <w:right w:w="15" w:type="dxa"/>
          </w:tblCellMar>
        </w:tblPrEx>
        <w:trPr>
          <w:trHeight w:val="636"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居民营养健康知识知晓率（%）</w:t>
            </w:r>
          </w:p>
        </w:tc>
        <w:tc>
          <w:tcPr>
            <w:tcW w:w="1050" w:type="dxa"/>
            <w:vMerge w:val="continue"/>
            <w:tcBorders>
              <w:left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5"/>
                <w:sz w:val="24"/>
              </w:rPr>
            </w:pPr>
            <w:r>
              <w:rPr>
                <w:spacing w:val="-5"/>
                <w:kern w:val="0"/>
                <w:sz w:val="24"/>
              </w:rPr>
              <w:t>比2019年提高10%</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5"/>
                <w:sz w:val="24"/>
              </w:rPr>
            </w:pPr>
            <w:r>
              <w:rPr>
                <w:spacing w:val="-5"/>
                <w:kern w:val="0"/>
                <w:sz w:val="24"/>
              </w:rPr>
              <w:t>比2022年提高10%</w:t>
            </w:r>
          </w:p>
        </w:tc>
      </w:tr>
      <w:tr>
        <w:tblPrEx>
          <w:tblCellMar>
            <w:top w:w="15" w:type="dxa"/>
            <w:left w:w="15" w:type="dxa"/>
            <w:bottom w:w="15" w:type="dxa"/>
            <w:right w:w="15" w:type="dxa"/>
          </w:tblCellMar>
        </w:tblPrEx>
        <w:trPr>
          <w:trHeight w:val="454" w:hRule="exac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孕妇贫血率(%)</w:t>
            </w:r>
          </w:p>
        </w:tc>
        <w:tc>
          <w:tcPr>
            <w:tcW w:w="1050" w:type="dxa"/>
            <w:vMerge w:val="continue"/>
            <w:tcBorders>
              <w:left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＜14</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w:t>
            </w:r>
          </w:p>
        </w:tc>
      </w:tr>
      <w:tr>
        <w:tblPrEx>
          <w:tblCellMar>
            <w:top w:w="15" w:type="dxa"/>
            <w:left w:w="15" w:type="dxa"/>
            <w:bottom w:w="15" w:type="dxa"/>
            <w:right w:w="15" w:type="dxa"/>
          </w:tblCellMar>
        </w:tblPrEx>
        <w:trPr>
          <w:trHeight w:val="454" w:hRule="exac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（二）</w:t>
            </w:r>
          </w:p>
          <w:p>
            <w:pPr>
              <w:spacing w:line="300" w:lineRule="exact"/>
              <w:jc w:val="center"/>
              <w:textAlignment w:val="center"/>
              <w:rPr>
                <w:kern w:val="0"/>
                <w:sz w:val="24"/>
              </w:rPr>
            </w:pPr>
            <w:r>
              <w:rPr>
                <w:kern w:val="0"/>
                <w:sz w:val="24"/>
              </w:rPr>
              <w:t>合理膳食</w:t>
            </w:r>
          </w:p>
          <w:p>
            <w:pPr>
              <w:spacing w:line="300" w:lineRule="exact"/>
              <w:jc w:val="center"/>
              <w:rPr>
                <w:sz w:val="24"/>
              </w:rPr>
            </w:pPr>
            <w:r>
              <w:rPr>
                <w:kern w:val="0"/>
                <w:sz w:val="24"/>
              </w:rPr>
              <w:t>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5岁以下儿童生长迟缓率(%)</w:t>
            </w:r>
          </w:p>
        </w:tc>
        <w:tc>
          <w:tcPr>
            <w:tcW w:w="105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w:t>
            </w:r>
          </w:p>
        </w:tc>
      </w:tr>
      <w:tr>
        <w:tblPrEx>
          <w:tblCellMar>
            <w:top w:w="15" w:type="dxa"/>
            <w:left w:w="15" w:type="dxa"/>
            <w:bottom w:w="15" w:type="dxa"/>
            <w:right w:w="15" w:type="dxa"/>
          </w:tblCellMar>
        </w:tblPrEx>
        <w:trPr>
          <w:trHeight w:val="41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人均每日食盐摄入量（g）</w:t>
            </w:r>
          </w:p>
        </w:tc>
        <w:tc>
          <w:tcPr>
            <w:tcW w:w="105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w:t>
            </w:r>
          </w:p>
        </w:tc>
      </w:tr>
      <w:tr>
        <w:tblPrEx>
          <w:tblCellMar>
            <w:top w:w="15" w:type="dxa"/>
            <w:left w:w="15" w:type="dxa"/>
            <w:bottom w:w="15" w:type="dxa"/>
            <w:right w:w="15" w:type="dxa"/>
          </w:tblCellMar>
        </w:tblPrEx>
        <w:trPr>
          <w:trHeight w:val="387" w:hRule="exac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成人人均每日食用油摄入量（g）</w:t>
            </w:r>
          </w:p>
        </w:tc>
        <w:tc>
          <w:tcPr>
            <w:tcW w:w="1050" w:type="dxa"/>
            <w:vMerge w:val="continue"/>
            <w:tcBorders>
              <w:left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25-30</w:t>
            </w:r>
          </w:p>
        </w:tc>
      </w:tr>
      <w:tr>
        <w:tblPrEx>
          <w:tblCellMar>
            <w:top w:w="15" w:type="dxa"/>
            <w:left w:w="15" w:type="dxa"/>
            <w:bottom w:w="15" w:type="dxa"/>
            <w:right w:w="15" w:type="dxa"/>
          </w:tblCellMar>
        </w:tblPrEx>
        <w:trPr>
          <w:trHeight w:val="425"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人均每日添加糖摄入量（g）</w:t>
            </w:r>
          </w:p>
        </w:tc>
        <w:tc>
          <w:tcPr>
            <w:tcW w:w="1050" w:type="dxa"/>
            <w:vMerge w:val="continue"/>
            <w:tcBorders>
              <w:left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≤25</w:t>
            </w:r>
          </w:p>
        </w:tc>
      </w:tr>
      <w:tr>
        <w:tblPrEx>
          <w:tblCellMar>
            <w:top w:w="15" w:type="dxa"/>
            <w:left w:w="15" w:type="dxa"/>
            <w:bottom w:w="15" w:type="dxa"/>
            <w:right w:w="15" w:type="dxa"/>
          </w:tblCellMar>
        </w:tblPrEx>
        <w:trPr>
          <w:trHeight w:val="465" w:hRule="exac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蔬菜和水果每日摄入量（g）</w:t>
            </w:r>
          </w:p>
        </w:tc>
        <w:tc>
          <w:tcPr>
            <w:tcW w:w="105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≥500</w:t>
            </w:r>
          </w:p>
        </w:tc>
      </w:tr>
      <w:tr>
        <w:tblPrEx>
          <w:tblCellMar>
            <w:top w:w="15" w:type="dxa"/>
            <w:left w:w="15" w:type="dxa"/>
            <w:bottom w:w="15" w:type="dxa"/>
            <w:right w:w="15" w:type="dxa"/>
          </w:tblCellMar>
        </w:tblPrEx>
        <w:trPr>
          <w:trHeight w:val="406"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每日摄入食物种类（种）</w:t>
            </w:r>
          </w:p>
        </w:tc>
        <w:tc>
          <w:tcPr>
            <w:tcW w:w="105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w:t>
            </w:r>
          </w:p>
        </w:tc>
      </w:tr>
      <w:tr>
        <w:tblPrEx>
          <w:tblCellMar>
            <w:top w:w="15" w:type="dxa"/>
            <w:left w:w="15" w:type="dxa"/>
            <w:bottom w:w="15" w:type="dxa"/>
            <w:right w:w="15" w:type="dxa"/>
          </w:tblCellMar>
        </w:tblPrEx>
        <w:trPr>
          <w:trHeight w:val="411"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成人维持健康体重</w:t>
            </w:r>
          </w:p>
        </w:tc>
        <w:tc>
          <w:tcPr>
            <w:tcW w:w="105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18.5≤BMI&lt;24</w:t>
            </w:r>
          </w:p>
        </w:tc>
      </w:tr>
      <w:tr>
        <w:tblPrEx>
          <w:tblCellMar>
            <w:top w:w="15" w:type="dxa"/>
            <w:left w:w="15" w:type="dxa"/>
            <w:bottom w:w="15" w:type="dxa"/>
            <w:right w:w="15" w:type="dxa"/>
          </w:tblCellMar>
        </w:tblPrEx>
        <w:trPr>
          <w:trHeight w:val="510" w:hRule="exac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每万人拥有营养指导员（名）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w:t>
            </w:r>
          </w:p>
        </w:tc>
      </w:tr>
      <w:tr>
        <w:tblPrEx>
          <w:tblCellMar>
            <w:top w:w="15" w:type="dxa"/>
            <w:left w:w="15" w:type="dxa"/>
            <w:bottom w:w="15" w:type="dxa"/>
            <w:right w:w="15" w:type="dxa"/>
          </w:tblCellMar>
        </w:tblPrEx>
        <w:trPr>
          <w:trHeight w:val="637" w:hRule="atLeast"/>
          <w:tblHeader/>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（三）</w:t>
            </w:r>
          </w:p>
          <w:p>
            <w:pPr>
              <w:spacing w:line="300" w:lineRule="exact"/>
              <w:jc w:val="center"/>
              <w:textAlignment w:val="center"/>
              <w:rPr>
                <w:kern w:val="0"/>
                <w:sz w:val="24"/>
              </w:rPr>
            </w:pPr>
            <w:r>
              <w:rPr>
                <w:kern w:val="0"/>
                <w:sz w:val="24"/>
              </w:rPr>
              <w:t>全民健身</w:t>
            </w:r>
          </w:p>
          <w:p>
            <w:pPr>
              <w:spacing w:line="300" w:lineRule="exact"/>
              <w:jc w:val="center"/>
              <w:textAlignment w:val="center"/>
              <w:rPr>
                <w:sz w:val="24"/>
              </w:rPr>
            </w:pPr>
            <w:r>
              <w:rPr>
                <w:kern w:val="0"/>
                <w:sz w:val="24"/>
              </w:rPr>
              <w:t>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1"/>
                <w:kern w:val="0"/>
                <w:sz w:val="24"/>
              </w:rPr>
              <w:t>城</w:t>
            </w:r>
            <w:r>
              <w:rPr>
                <w:rFonts w:hint="eastAsia"/>
                <w:spacing w:val="-11"/>
                <w:kern w:val="0"/>
                <w:sz w:val="24"/>
                <w:lang w:val="en-US" w:eastAsia="zh-CN"/>
              </w:rPr>
              <w:t>乡</w:t>
            </w:r>
            <w:r>
              <w:rPr>
                <w:spacing w:val="-11"/>
                <w:kern w:val="0"/>
                <w:sz w:val="24"/>
              </w:rPr>
              <w:t>居民达到《国民体质测定标准》合格以上的人数比例（%）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≥92</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≥94</w:t>
            </w:r>
          </w:p>
        </w:tc>
      </w:tr>
      <w:tr>
        <w:tblPrEx>
          <w:tblCellMar>
            <w:top w:w="15" w:type="dxa"/>
            <w:left w:w="15" w:type="dxa"/>
            <w:bottom w:w="15" w:type="dxa"/>
            <w:right w:w="15" w:type="dxa"/>
          </w:tblCellMar>
        </w:tblPrEx>
        <w:trPr>
          <w:trHeight w:val="407"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1"/>
                <w:kern w:val="0"/>
                <w:sz w:val="24"/>
              </w:rPr>
              <w:t>经常参加体育锻炼人数比例（%）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≥42</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≥43</w:t>
            </w:r>
          </w:p>
        </w:tc>
      </w:tr>
      <w:tr>
        <w:tblPrEx>
          <w:tblCellMar>
            <w:top w:w="15" w:type="dxa"/>
            <w:left w:w="15" w:type="dxa"/>
            <w:bottom w:w="15" w:type="dxa"/>
            <w:right w:w="15" w:type="dxa"/>
          </w:tblCellMar>
        </w:tblPrEx>
        <w:trPr>
          <w:trHeight w:val="383"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6"/>
                <w:sz w:val="24"/>
              </w:rPr>
            </w:pPr>
            <w:r>
              <w:rPr>
                <w:spacing w:val="-11"/>
                <w:kern w:val="0"/>
                <w:sz w:val="24"/>
              </w:rPr>
              <w:t>机关企事业单位积极开展工间操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rPr>
            </w:pPr>
          </w:p>
        </w:tc>
      </w:tr>
      <w:tr>
        <w:tblPrEx>
          <w:tblCellMar>
            <w:top w:w="15" w:type="dxa"/>
            <w:left w:w="15" w:type="dxa"/>
            <w:bottom w:w="15" w:type="dxa"/>
            <w:right w:w="15" w:type="dxa"/>
          </w:tblCellMar>
        </w:tblPrEx>
        <w:trPr>
          <w:trHeight w:val="1117"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textAlignment w:val="center"/>
              <w:rPr>
                <w:sz w:val="24"/>
              </w:rPr>
            </w:pPr>
            <w:r>
              <w:rPr>
                <w:kern w:val="0"/>
                <w:sz w:val="24"/>
              </w:rPr>
              <w:t>鼓励个人至少有1项运动爱好或者掌握一项传统运动项目，参加至少1个健身组织，每天</w:t>
            </w:r>
            <w:r>
              <w:rPr>
                <w:spacing w:val="-11"/>
                <w:kern w:val="0"/>
                <w:sz w:val="24"/>
              </w:rPr>
              <w:t>进行中等强度运动至少半小时</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1453"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鼓励医疗机构提供运动促进健康的指导服务，鼓励引导社会体育指导员在健身场所等地方为群众提供科学健身指导服务，提高健身效果，预防运动损伤</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1260"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1"/>
                <w:kern w:val="0"/>
                <w:sz w:val="24"/>
              </w:rPr>
              <w:t>鼓励公共体育场地设施更多更好地提供免费或低收费开放服务，符合条件的企事业单位体育场地设施全部向社会开放</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37"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城市慢跑步行道绿道的人均长度（m/万人）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持续提升</w:t>
            </w:r>
          </w:p>
        </w:tc>
      </w:tr>
      <w:tr>
        <w:tblPrEx>
          <w:tblCellMar>
            <w:top w:w="15" w:type="dxa"/>
            <w:left w:w="15" w:type="dxa"/>
            <w:bottom w:w="15" w:type="dxa"/>
            <w:right w:w="15" w:type="dxa"/>
          </w:tblCellMar>
        </w:tblPrEx>
        <w:trPr>
          <w:trHeight w:val="452"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11"/>
                <w:kern w:val="0"/>
                <w:sz w:val="24"/>
              </w:rPr>
            </w:pPr>
            <w:r>
              <w:rPr>
                <w:spacing w:val="-11"/>
                <w:kern w:val="0"/>
                <w:sz w:val="24"/>
              </w:rPr>
              <w:t>每千人拥有社会体育指导员（人）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3.5</w:t>
            </w:r>
          </w:p>
        </w:tc>
      </w:tr>
      <w:tr>
        <w:tblPrEx>
          <w:tblCellMar>
            <w:top w:w="15" w:type="dxa"/>
            <w:left w:w="15" w:type="dxa"/>
            <w:bottom w:w="15" w:type="dxa"/>
            <w:right w:w="15" w:type="dxa"/>
          </w:tblCellMar>
        </w:tblPrEx>
        <w:trPr>
          <w:trHeight w:val="412"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11"/>
                <w:kern w:val="0"/>
                <w:sz w:val="24"/>
              </w:rPr>
            </w:pPr>
            <w:r>
              <w:rPr>
                <w:spacing w:val="-11"/>
                <w:kern w:val="0"/>
                <w:sz w:val="24"/>
              </w:rPr>
              <w:t>农村行政村体育设施覆盖率（%）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kern w:val="0"/>
                <w:sz w:val="24"/>
              </w:rPr>
            </w:pPr>
            <w:r>
              <w:rPr>
                <w:kern w:val="0"/>
                <w:sz w:val="24"/>
              </w:rPr>
              <w:t>基本全</w:t>
            </w:r>
          </w:p>
          <w:p>
            <w:pPr>
              <w:spacing w:line="300" w:lineRule="exact"/>
              <w:jc w:val="center"/>
              <w:textAlignment w:val="center"/>
              <w:rPr>
                <w:sz w:val="24"/>
              </w:rPr>
            </w:pPr>
            <w:r>
              <w:rPr>
                <w:kern w:val="0"/>
                <w:sz w:val="24"/>
              </w:rPr>
              <w:t>覆盖</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r>
      <w:tr>
        <w:tblPrEx>
          <w:tblCellMar>
            <w:top w:w="15" w:type="dxa"/>
            <w:left w:w="15" w:type="dxa"/>
            <w:bottom w:w="15" w:type="dxa"/>
            <w:right w:w="15" w:type="dxa"/>
          </w:tblCellMar>
        </w:tblPrEx>
        <w:trPr>
          <w:trHeight w:val="356"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（四）</w:t>
            </w:r>
          </w:p>
          <w:p>
            <w:pPr>
              <w:spacing w:line="300" w:lineRule="exact"/>
              <w:jc w:val="center"/>
              <w:textAlignment w:val="center"/>
              <w:rPr>
                <w:kern w:val="0"/>
                <w:sz w:val="24"/>
              </w:rPr>
            </w:pPr>
            <w:r>
              <w:rPr>
                <w:kern w:val="0"/>
                <w:sz w:val="24"/>
              </w:rPr>
              <w:t>控烟</w:t>
            </w:r>
          </w:p>
          <w:p>
            <w:pPr>
              <w:spacing w:line="300" w:lineRule="exact"/>
              <w:jc w:val="center"/>
              <w:textAlignment w:val="center"/>
              <w:rPr>
                <w:kern w:val="0"/>
                <w:sz w:val="24"/>
              </w:rPr>
            </w:pPr>
            <w:r>
              <w:rPr>
                <w:kern w:val="0"/>
                <w:sz w:val="24"/>
              </w:rPr>
              <w:t>限酒</w:t>
            </w:r>
          </w:p>
          <w:p>
            <w:pPr>
              <w:spacing w:line="300" w:lineRule="exact"/>
              <w:jc w:val="center"/>
              <w:textAlignment w:val="center"/>
              <w:rPr>
                <w:sz w:val="24"/>
              </w:rPr>
            </w:pPr>
            <w:r>
              <w:rPr>
                <w:kern w:val="0"/>
                <w:sz w:val="24"/>
              </w:rPr>
              <w:t>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15岁以上人群吸烟率（%）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eastAsia="仿宋_GB2312"/>
                <w:sz w:val="24"/>
                <w:lang w:eastAsia="zh-CN"/>
              </w:rPr>
            </w:pPr>
            <w:r>
              <w:rPr>
                <w:rFonts w:hint="eastAsia"/>
                <w:sz w:val="24"/>
                <w:lang w:val="en-US" w:eastAsia="zh-CN"/>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＜24.5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＜20</w:t>
            </w:r>
          </w:p>
        </w:tc>
      </w:tr>
      <w:tr>
        <w:tblPrEx>
          <w:tblCellMar>
            <w:top w:w="15" w:type="dxa"/>
            <w:left w:w="15" w:type="dxa"/>
            <w:bottom w:w="15" w:type="dxa"/>
            <w:right w:w="15" w:type="dxa"/>
          </w:tblCellMar>
        </w:tblPrEx>
        <w:trPr>
          <w:trHeight w:val="41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6"/>
                <w:sz w:val="24"/>
              </w:rPr>
            </w:pPr>
            <w:r>
              <w:rPr>
                <w:spacing w:val="-11"/>
                <w:kern w:val="0"/>
                <w:sz w:val="24"/>
              </w:rPr>
              <w:t>全面无烟法规保护人口比例（%）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≥80</w:t>
            </w:r>
          </w:p>
        </w:tc>
      </w:tr>
      <w:tr>
        <w:tblPrEx>
          <w:tblCellMar>
            <w:top w:w="15" w:type="dxa"/>
            <w:left w:w="15" w:type="dxa"/>
            <w:bottom w:w="15" w:type="dxa"/>
            <w:right w:w="15" w:type="dxa"/>
          </w:tblCellMar>
        </w:tblPrEx>
        <w:trPr>
          <w:trHeight w:val="62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个人戒烟，创建无烟家庭，保护家人免受二手烟危害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36"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领导干部、医务人员和教师发挥在控烟方面的引领作用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98"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8"/>
                <w:sz w:val="24"/>
              </w:rPr>
            </w:pPr>
            <w:r>
              <w:rPr>
                <w:spacing w:val="-8"/>
                <w:kern w:val="0"/>
                <w:sz w:val="24"/>
              </w:rPr>
              <w:t>鼓励企业、单位出台室内全面无烟政策，为员工营造无烟工作环境，为吸烟员工戒烟提供必要的帮助</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397"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建成无烟党政机关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基本实现</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持续保持</w:t>
            </w:r>
          </w:p>
        </w:tc>
      </w:tr>
      <w:tr>
        <w:tblPrEx>
          <w:tblCellMar>
            <w:top w:w="15" w:type="dxa"/>
            <w:left w:w="15" w:type="dxa"/>
            <w:bottom w:w="15" w:type="dxa"/>
            <w:right w:w="15" w:type="dxa"/>
          </w:tblCellMar>
        </w:tblPrEx>
        <w:trPr>
          <w:trHeight w:val="496"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（五）</w:t>
            </w:r>
          </w:p>
          <w:p>
            <w:pPr>
              <w:spacing w:line="300" w:lineRule="exact"/>
              <w:jc w:val="center"/>
              <w:textAlignment w:val="center"/>
              <w:rPr>
                <w:kern w:val="0"/>
                <w:sz w:val="24"/>
              </w:rPr>
            </w:pPr>
            <w:r>
              <w:rPr>
                <w:kern w:val="0"/>
                <w:sz w:val="24"/>
              </w:rPr>
              <w:t>心理健康</w:t>
            </w:r>
          </w:p>
          <w:p>
            <w:pPr>
              <w:spacing w:line="300" w:lineRule="exact"/>
              <w:jc w:val="center"/>
              <w:textAlignment w:val="center"/>
              <w:rPr>
                <w:sz w:val="24"/>
              </w:rPr>
            </w:pPr>
            <w:r>
              <w:rPr>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居民心理健康素养水平（%）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30</w:t>
            </w:r>
          </w:p>
        </w:tc>
      </w:tr>
      <w:tr>
        <w:tblPrEx>
          <w:tblCellMar>
            <w:top w:w="15" w:type="dxa"/>
            <w:left w:w="15" w:type="dxa"/>
            <w:bottom w:w="15" w:type="dxa"/>
            <w:right w:w="15" w:type="dxa"/>
          </w:tblCellMar>
        </w:tblPrEx>
        <w:trPr>
          <w:trHeight w:val="569" w:hRule="exac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失眠现患率（%）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上升趋势减缓</w:t>
            </w:r>
          </w:p>
        </w:tc>
      </w:tr>
      <w:tr>
        <w:tblPrEx>
          <w:tblCellMar>
            <w:top w:w="15" w:type="dxa"/>
            <w:left w:w="15" w:type="dxa"/>
            <w:bottom w:w="15" w:type="dxa"/>
            <w:right w:w="15" w:type="dxa"/>
          </w:tblCellMar>
        </w:tblPrEx>
        <w:trPr>
          <w:trHeight w:val="539"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焦虑障碍患病率（%）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219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464"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（五）</w:t>
            </w:r>
          </w:p>
          <w:p>
            <w:pPr>
              <w:spacing w:line="300" w:lineRule="exact"/>
              <w:jc w:val="center"/>
              <w:textAlignment w:val="center"/>
              <w:rPr>
                <w:kern w:val="0"/>
                <w:sz w:val="24"/>
              </w:rPr>
            </w:pPr>
            <w:r>
              <w:rPr>
                <w:kern w:val="0"/>
                <w:sz w:val="24"/>
              </w:rPr>
              <w:t>心理健康</w:t>
            </w:r>
          </w:p>
          <w:p>
            <w:pPr>
              <w:spacing w:line="300" w:lineRule="exact"/>
              <w:jc w:val="center"/>
              <w:rPr>
                <w:sz w:val="24"/>
              </w:rPr>
            </w:pPr>
            <w:r>
              <w:rPr>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抑郁症患病率（%）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219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536"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1"/>
                <w:kern w:val="0"/>
                <w:sz w:val="24"/>
              </w:rPr>
              <w:t>成人每日平均睡眠时间（小时）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7-8</w:t>
            </w:r>
          </w:p>
        </w:tc>
      </w:tr>
      <w:tr>
        <w:tblPrEx>
          <w:tblCellMar>
            <w:top w:w="15" w:type="dxa"/>
            <w:left w:w="15" w:type="dxa"/>
            <w:bottom w:w="15" w:type="dxa"/>
            <w:right w:w="15" w:type="dxa"/>
          </w:tblCellMar>
        </w:tblPrEx>
        <w:trPr>
          <w:trHeight w:val="851"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1"/>
                <w:kern w:val="0"/>
                <w:sz w:val="24"/>
              </w:rPr>
              <w:t>鼓励个人正确认识抑郁和焦虑症状，掌握基本的情绪管理、压力管理等自我心理调适方法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51"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各类临床医务人员主动掌握心理健康知识和技能，应用于临床诊疗活动中</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740"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精神科执业（助理）医师（名/10万人）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3.3</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4.5</w:t>
            </w:r>
          </w:p>
        </w:tc>
      </w:tr>
      <w:tr>
        <w:tblPrEx>
          <w:tblCellMar>
            <w:top w:w="15" w:type="dxa"/>
            <w:left w:w="15" w:type="dxa"/>
            <w:bottom w:w="15" w:type="dxa"/>
            <w:right w:w="15" w:type="dxa"/>
          </w:tblCellMar>
        </w:tblPrEx>
        <w:trPr>
          <w:trHeight w:val="621" w:hRule="atLeast"/>
          <w:tblHeader/>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（六）</w:t>
            </w:r>
          </w:p>
          <w:p>
            <w:pPr>
              <w:spacing w:line="300" w:lineRule="exact"/>
              <w:jc w:val="center"/>
              <w:textAlignment w:val="center"/>
              <w:rPr>
                <w:kern w:val="0"/>
                <w:sz w:val="24"/>
              </w:rPr>
            </w:pPr>
            <w:r>
              <w:rPr>
                <w:kern w:val="0"/>
                <w:sz w:val="24"/>
              </w:rPr>
              <w:t>健康环境</w:t>
            </w:r>
          </w:p>
          <w:p>
            <w:pPr>
              <w:spacing w:line="300" w:lineRule="exact"/>
              <w:jc w:val="center"/>
              <w:textAlignment w:val="center"/>
              <w:rPr>
                <w:sz w:val="24"/>
              </w:rPr>
            </w:pPr>
            <w:r>
              <w:rPr>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居民饮用水水质达标情况</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eastAsia="仿宋_GB2312"/>
                <w:sz w:val="24"/>
                <w:lang w:eastAsia="zh-CN"/>
              </w:rPr>
            </w:pPr>
            <w:r>
              <w:rPr>
                <w:rFonts w:hint="eastAsia"/>
                <w:sz w:val="24"/>
                <w:lang w:val="en-US" w:eastAsia="zh-CN"/>
              </w:rPr>
              <w:t xml:space="preserve">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明显改善</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持续改善</w:t>
            </w:r>
          </w:p>
        </w:tc>
      </w:tr>
      <w:tr>
        <w:tblPrEx>
          <w:tblCellMar>
            <w:top w:w="15" w:type="dxa"/>
            <w:left w:w="15" w:type="dxa"/>
            <w:bottom w:w="15" w:type="dxa"/>
            <w:right w:w="15" w:type="dxa"/>
          </w:tblCellMar>
        </w:tblPrEx>
        <w:trPr>
          <w:trHeight w:val="495"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居民环境与健康素养水平（%）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≥25</w:t>
            </w:r>
          </w:p>
        </w:tc>
      </w:tr>
      <w:tr>
        <w:tblPrEx>
          <w:tblCellMar>
            <w:top w:w="15" w:type="dxa"/>
            <w:left w:w="15" w:type="dxa"/>
            <w:bottom w:w="15" w:type="dxa"/>
            <w:right w:w="15" w:type="dxa"/>
          </w:tblCellMar>
        </w:tblPrEx>
        <w:trPr>
          <w:trHeight w:val="851"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积极实施垃圾分类并及时清理，将固体废弃物主动投放到相应的回收地点及设施中</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51"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防治室内空气污染，提倡简约绿色装饰，做好室内油烟排风，提高家居环境水平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51"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学校、医院、车站、大型商场、电影院等人员密集的地方应定期开展火灾、地震等自然灾害及突发事件的应急演练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51"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pacing w:val="-6"/>
                <w:sz w:val="24"/>
              </w:rPr>
            </w:pPr>
            <w:r>
              <w:rPr>
                <w:spacing w:val="-6"/>
                <w:kern w:val="0"/>
                <w:sz w:val="24"/>
              </w:rPr>
              <w:t>提高自身健康防护意识和能力，</w:t>
            </w:r>
            <w:r>
              <w:rPr>
                <w:spacing w:val="-11"/>
                <w:kern w:val="0"/>
                <w:sz w:val="24"/>
              </w:rPr>
              <w:t>学会识别常见的危险标识、化学品安全标签及环境保护图形标志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47" w:hRule="atLeast"/>
          <w:tblHeader/>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（七）</w:t>
            </w:r>
          </w:p>
          <w:p>
            <w:pPr>
              <w:spacing w:line="300" w:lineRule="exact"/>
              <w:jc w:val="center"/>
              <w:textAlignment w:val="center"/>
              <w:rPr>
                <w:sz w:val="24"/>
              </w:rPr>
            </w:pPr>
            <w:r>
              <w:rPr>
                <w:kern w:val="0"/>
                <w:sz w:val="24"/>
              </w:rPr>
              <w:t>中医药健康促进行动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9"/>
                <w:kern w:val="0"/>
                <w:sz w:val="24"/>
              </w:rPr>
              <w:t>中医医院设置治未病科室比例（%）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r>
      <w:tr>
        <w:tblPrEx>
          <w:tblCellMar>
            <w:top w:w="15" w:type="dxa"/>
            <w:left w:w="15" w:type="dxa"/>
            <w:bottom w:w="15" w:type="dxa"/>
            <w:right w:w="15" w:type="dxa"/>
          </w:tblCellMar>
        </w:tblPrEx>
        <w:trPr>
          <w:trHeight w:val="598"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9"/>
                <w:kern w:val="0"/>
                <w:sz w:val="24"/>
              </w:rPr>
              <w:t>三级中医医院设置康复科比例（%）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r>
      <w:tr>
        <w:tblPrEx>
          <w:tblCellMar>
            <w:top w:w="15" w:type="dxa"/>
            <w:left w:w="15" w:type="dxa"/>
            <w:bottom w:w="15" w:type="dxa"/>
            <w:right w:w="15" w:type="dxa"/>
          </w:tblCellMar>
        </w:tblPrEx>
        <w:trPr>
          <w:trHeight w:val="467"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（八）</w:t>
            </w:r>
          </w:p>
          <w:p>
            <w:pPr>
              <w:spacing w:line="300" w:lineRule="exact"/>
              <w:jc w:val="center"/>
              <w:textAlignment w:val="center"/>
              <w:rPr>
                <w:kern w:val="0"/>
                <w:sz w:val="24"/>
              </w:rPr>
            </w:pPr>
            <w:r>
              <w:rPr>
                <w:kern w:val="0"/>
                <w:sz w:val="24"/>
              </w:rPr>
              <w:t>妇幼健康</w:t>
            </w:r>
          </w:p>
          <w:p>
            <w:pPr>
              <w:spacing w:line="300" w:lineRule="exact"/>
              <w:jc w:val="center"/>
              <w:textAlignment w:val="center"/>
              <w:rPr>
                <w:sz w:val="24"/>
              </w:rPr>
            </w:pPr>
            <w:r>
              <w:rPr>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婴儿死亡率（‰）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sz w:val="24"/>
              </w:rPr>
              <w:t>2.</w:t>
            </w:r>
            <w:r>
              <w:rPr>
                <w:rFonts w:hint="eastAsia"/>
                <w:sz w:val="24"/>
                <w:lang w:val="en-US" w:eastAsia="zh-CN"/>
              </w:rPr>
              <w:t>44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w:t>
            </w:r>
          </w:p>
        </w:tc>
      </w:tr>
      <w:tr>
        <w:tblPrEx>
          <w:tblCellMar>
            <w:top w:w="15" w:type="dxa"/>
            <w:left w:w="15" w:type="dxa"/>
            <w:bottom w:w="15" w:type="dxa"/>
            <w:right w:w="15" w:type="dxa"/>
          </w:tblCellMar>
        </w:tblPrEx>
        <w:trPr>
          <w:trHeight w:val="45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5岁以下儿童死亡率（‰）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sz w:val="24"/>
              </w:rPr>
              <w:t>3.</w:t>
            </w:r>
            <w:r>
              <w:rPr>
                <w:rFonts w:hint="eastAsia"/>
                <w:sz w:val="24"/>
                <w:lang w:val="en-US" w:eastAsia="zh-CN"/>
              </w:rPr>
              <w:t>86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w:t>
            </w:r>
          </w:p>
        </w:tc>
      </w:tr>
      <w:tr>
        <w:tblPrEx>
          <w:tblCellMar>
            <w:top w:w="15" w:type="dxa"/>
            <w:left w:w="15" w:type="dxa"/>
            <w:bottom w:w="15" w:type="dxa"/>
            <w:right w:w="15" w:type="dxa"/>
          </w:tblCellMar>
        </w:tblPrEx>
        <w:trPr>
          <w:trHeight w:val="45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孕产妇死亡率（1/10万）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rFonts w:hint="eastAsia"/>
                <w:sz w:val="24"/>
                <w:lang w:val="en-US" w:eastAsia="zh-CN"/>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≤13</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w:t>
            </w:r>
          </w:p>
        </w:tc>
      </w:tr>
      <w:tr>
        <w:tblPrEx>
          <w:tblCellMar>
            <w:top w:w="15" w:type="dxa"/>
            <w:left w:w="15" w:type="dxa"/>
            <w:bottom w:w="15" w:type="dxa"/>
            <w:right w:w="15" w:type="dxa"/>
          </w:tblCellMar>
        </w:tblPrEx>
        <w:trPr>
          <w:trHeight w:val="630"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主动学习掌握出生缺陷防治和儿童早期发展知识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80"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（八）</w:t>
            </w:r>
          </w:p>
          <w:p>
            <w:pPr>
              <w:spacing w:line="300" w:lineRule="exact"/>
              <w:jc w:val="center"/>
              <w:textAlignment w:val="center"/>
              <w:rPr>
                <w:kern w:val="0"/>
                <w:sz w:val="24"/>
              </w:rPr>
            </w:pPr>
            <w:r>
              <w:rPr>
                <w:kern w:val="0"/>
                <w:sz w:val="24"/>
              </w:rPr>
              <w:t>妇幼健康</w:t>
            </w:r>
          </w:p>
          <w:p>
            <w:pPr>
              <w:spacing w:line="300" w:lineRule="exact"/>
              <w:jc w:val="center"/>
              <w:rPr>
                <w:sz w:val="24"/>
              </w:rPr>
            </w:pPr>
            <w:r>
              <w:rPr>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主动接受婚前医学检查和孕前优生健康检查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73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center"/>
              <w:rPr>
                <w:sz w:val="24"/>
              </w:rPr>
            </w:pPr>
            <w:r>
              <w:rPr>
                <w:kern w:val="0"/>
                <w:sz w:val="24"/>
              </w:rPr>
              <w:t>55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sz w:val="24"/>
              </w:rPr>
            </w:pPr>
            <w:r>
              <w:rPr>
                <w:kern w:val="0"/>
                <w:sz w:val="24"/>
              </w:rPr>
              <w:t>倡导0-6个月婴儿纯母乳喂养，为6个月以上婴儿适时合理添加辅食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r>
              <w:rPr>
                <w:rFonts w:hint="eastAsia"/>
                <w:sz w:val="24"/>
                <w:lang w:val="en-US" w:eastAsia="zh-CN"/>
              </w:rPr>
              <w:t>52.23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405"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产前筛查率（%）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≥98</w:t>
            </w:r>
          </w:p>
        </w:tc>
      </w:tr>
      <w:tr>
        <w:tblPrEx>
          <w:tblCellMar>
            <w:top w:w="15" w:type="dxa"/>
            <w:left w:w="15" w:type="dxa"/>
            <w:bottom w:w="15" w:type="dxa"/>
            <w:right w:w="15" w:type="dxa"/>
          </w:tblCellMar>
        </w:tblPrEx>
        <w:trPr>
          <w:trHeight w:val="45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8"/>
                <w:kern w:val="0"/>
                <w:sz w:val="24"/>
              </w:rPr>
              <w:t>新生儿遗传代谢性疾病筛查率（%）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rFonts w:hint="eastAsia"/>
                <w:sz w:val="24"/>
                <w:lang w:val="en-US" w:eastAsia="zh-CN"/>
              </w:rPr>
              <w:t>100.02</w:t>
            </w: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≥98</w:t>
            </w:r>
          </w:p>
        </w:tc>
      </w:tr>
      <w:tr>
        <w:tblPrEx>
          <w:tblCellMar>
            <w:top w:w="15" w:type="dxa"/>
            <w:left w:w="15" w:type="dxa"/>
            <w:bottom w:w="15" w:type="dxa"/>
            <w:right w:w="15" w:type="dxa"/>
          </w:tblCellMar>
        </w:tblPrEx>
        <w:trPr>
          <w:trHeight w:val="37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新生儿听力筛查率（%）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rFonts w:hint="eastAsia"/>
                <w:sz w:val="24"/>
                <w:lang w:val="en-US" w:eastAsia="zh-CN"/>
              </w:rPr>
              <w:t>95.06</w:t>
            </w: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r>
      <w:tr>
        <w:tblPrEx>
          <w:tblCellMar>
            <w:top w:w="15" w:type="dxa"/>
            <w:left w:w="15" w:type="dxa"/>
            <w:bottom w:w="15" w:type="dxa"/>
            <w:right w:w="15" w:type="dxa"/>
          </w:tblCellMar>
        </w:tblPrEx>
        <w:trPr>
          <w:trHeight w:val="632"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农村适龄妇女宫颈癌和乳腺癌筛查覆盖率（%）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spacing w:val="-23"/>
                <w:kern w:val="0"/>
                <w:sz w:val="21"/>
                <w:szCs w:val="21"/>
                <w:lang w:bidi="ar"/>
              </w:rPr>
            </w:pPr>
            <w:r>
              <w:rPr>
                <w:spacing w:val="-23"/>
                <w:kern w:val="0"/>
                <w:sz w:val="21"/>
                <w:szCs w:val="21"/>
                <w:lang w:bidi="ar"/>
              </w:rPr>
              <w:t>宫颈癌2</w:t>
            </w:r>
            <w:r>
              <w:rPr>
                <w:rFonts w:hint="eastAsia"/>
                <w:spacing w:val="-23"/>
                <w:kern w:val="0"/>
                <w:sz w:val="21"/>
                <w:szCs w:val="21"/>
                <w:lang w:val="en-US" w:eastAsia="zh-CN" w:bidi="ar"/>
              </w:rPr>
              <w:t>7.94</w:t>
            </w:r>
            <w:r>
              <w:rPr>
                <w:spacing w:val="-23"/>
                <w:kern w:val="0"/>
                <w:sz w:val="21"/>
                <w:szCs w:val="21"/>
                <w:lang w:bidi="ar"/>
              </w:rPr>
              <w:t>,</w:t>
            </w:r>
          </w:p>
          <w:p>
            <w:pPr>
              <w:spacing w:line="300" w:lineRule="exact"/>
              <w:jc w:val="both"/>
              <w:textAlignment w:val="center"/>
              <w:rPr>
                <w:rFonts w:hint="default" w:eastAsia="仿宋_GB2312"/>
                <w:kern w:val="2"/>
                <w:sz w:val="24"/>
                <w:szCs w:val="24"/>
                <w:lang w:val="en-US" w:eastAsia="zh-CN" w:bidi="ar-SA"/>
              </w:rPr>
            </w:pPr>
            <w:r>
              <w:rPr>
                <w:spacing w:val="-19"/>
                <w:kern w:val="0"/>
                <w:sz w:val="21"/>
                <w:szCs w:val="21"/>
                <w:lang w:bidi="ar"/>
              </w:rPr>
              <w:t>乳腺癌</w:t>
            </w:r>
            <w:r>
              <w:rPr>
                <w:rFonts w:hint="eastAsia"/>
                <w:spacing w:val="-19"/>
                <w:kern w:val="0"/>
                <w:sz w:val="21"/>
                <w:szCs w:val="21"/>
                <w:lang w:val="en-US" w:eastAsia="zh-CN" w:bidi="ar"/>
              </w:rPr>
              <w:t>24.21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eastAsia="仿宋_GB2312"/>
                <w:kern w:val="2"/>
                <w:sz w:val="24"/>
                <w:szCs w:val="24"/>
                <w:lang w:val="en-US" w:eastAsia="zh-CN" w:bidi="ar-SA"/>
              </w:rPr>
            </w:pPr>
            <w:r>
              <w:rPr>
                <w:kern w:val="0"/>
                <w:sz w:val="24"/>
              </w:rPr>
              <w:t>≥80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r>
      <w:tr>
        <w:tblPrEx>
          <w:tblCellMar>
            <w:top w:w="15" w:type="dxa"/>
            <w:left w:w="15" w:type="dxa"/>
            <w:bottom w:w="15" w:type="dxa"/>
            <w:right w:w="15" w:type="dxa"/>
          </w:tblCellMar>
        </w:tblPrEx>
        <w:trPr>
          <w:trHeight w:val="570"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（九）</w:t>
            </w:r>
          </w:p>
          <w:p>
            <w:pPr>
              <w:spacing w:line="300" w:lineRule="exact"/>
              <w:jc w:val="center"/>
              <w:textAlignment w:val="center"/>
              <w:rPr>
                <w:rFonts w:hint="eastAsia"/>
                <w:kern w:val="0"/>
                <w:sz w:val="24"/>
              </w:rPr>
            </w:pPr>
            <w:r>
              <w:rPr>
                <w:kern w:val="0"/>
                <w:sz w:val="24"/>
              </w:rPr>
              <w:t>青少年</w:t>
            </w:r>
          </w:p>
          <w:p>
            <w:pPr>
              <w:spacing w:line="300" w:lineRule="exact"/>
              <w:jc w:val="center"/>
              <w:textAlignment w:val="center"/>
              <w:rPr>
                <w:sz w:val="24"/>
              </w:rPr>
            </w:pPr>
            <w:r>
              <w:rPr>
                <w:kern w:val="0"/>
                <w:sz w:val="24"/>
              </w:rPr>
              <w:t>健康促进行动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highlight w:val="none"/>
              </w:rPr>
            </w:pPr>
            <w:r>
              <w:rPr>
                <w:kern w:val="0"/>
                <w:sz w:val="24"/>
                <w:highlight w:val="none"/>
              </w:rPr>
              <w:t>60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highlight w:val="none"/>
              </w:rPr>
            </w:pPr>
            <w:r>
              <w:rPr>
                <w:kern w:val="0"/>
                <w:sz w:val="24"/>
                <w:highlight w:val="none"/>
              </w:rPr>
              <w:t>国家学生体质健康标准达标优良率（%）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highlight w:val="none"/>
              </w:rPr>
            </w:pPr>
            <w:r>
              <w:rPr>
                <w:kern w:val="0"/>
                <w:sz w:val="24"/>
                <w:highlight w:val="none"/>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eastAsia="仿宋_GB2312"/>
                <w:kern w:val="2"/>
                <w:sz w:val="24"/>
                <w:szCs w:val="24"/>
                <w:lang w:val="en-US" w:eastAsia="zh-CN" w:bidi="ar-SA"/>
              </w:rPr>
            </w:pPr>
            <w:r>
              <w:rPr>
                <w:sz w:val="24"/>
              </w:rPr>
              <w:t>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≥30</w:t>
            </w:r>
          </w:p>
        </w:tc>
      </w:tr>
      <w:tr>
        <w:tblPrEx>
          <w:tblCellMar>
            <w:top w:w="15" w:type="dxa"/>
            <w:left w:w="15" w:type="dxa"/>
            <w:bottom w:w="15" w:type="dxa"/>
            <w:right w:w="15" w:type="dxa"/>
          </w:tblCellMar>
        </w:tblPrEx>
        <w:trPr>
          <w:trHeight w:val="885"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儿童青少年总体近视率（%）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hint="eastAsia" w:eastAsia="仿宋_GB2312"/>
                <w:kern w:val="2"/>
                <w:sz w:val="24"/>
                <w:szCs w:val="24"/>
                <w:lang w:val="en-US" w:eastAsia="zh-CN" w:bidi="ar-SA"/>
              </w:rPr>
            </w:pPr>
            <w:r>
              <w:rPr>
                <w:rFonts w:hint="eastAsia"/>
                <w:sz w:val="24"/>
                <w:lang w:val="en-US" w:eastAsia="zh-CN"/>
              </w:rPr>
              <w:t>55.11</w:t>
            </w:r>
            <w:r>
              <w:rPr>
                <w:sz w:val="24"/>
              </w:rPr>
              <w:t>全</w:t>
            </w:r>
            <w:r>
              <w:rPr>
                <w:rFonts w:hint="eastAsia"/>
                <w:sz w:val="24"/>
                <w:lang w:val="en-US" w:eastAsia="zh-CN"/>
              </w:rPr>
              <w:t>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23"/>
                <w:kern w:val="0"/>
                <w:sz w:val="24"/>
              </w:rPr>
              <w:t>力争每年降低1个百分点以上</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新发率明显下降</w:t>
            </w:r>
          </w:p>
        </w:tc>
      </w:tr>
      <w:tr>
        <w:tblPrEx>
          <w:tblCellMar>
            <w:top w:w="15" w:type="dxa"/>
            <w:left w:w="15" w:type="dxa"/>
            <w:bottom w:w="15" w:type="dxa"/>
            <w:right w:w="15" w:type="dxa"/>
          </w:tblCellMar>
        </w:tblPrEx>
        <w:trPr>
          <w:trHeight w:val="510"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中小学生每天在校外接触自然光时间1小时以上</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kern w:val="2"/>
                <w:sz w:val="24"/>
                <w:szCs w:val="24"/>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65"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小学生、初中生、高中生每天睡眠时间分别不少于10、9、8个小时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kern w:val="2"/>
                <w:sz w:val="24"/>
                <w:szCs w:val="24"/>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80"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kern w:val="0"/>
                <w:sz w:val="24"/>
              </w:rPr>
            </w:pPr>
            <w:r>
              <w:rPr>
                <w:kern w:val="0"/>
                <w:sz w:val="24"/>
              </w:rPr>
              <w:t>中小学生非学习目的使用电子屏幕产品单次不宜超过15分钟，每天累计不宜超过1小时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kern w:val="0"/>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kern w:val="2"/>
                <w:sz w:val="24"/>
                <w:szCs w:val="24"/>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80"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kern w:val="0"/>
                <w:sz w:val="24"/>
              </w:rPr>
            </w:pPr>
            <w:r>
              <w:rPr>
                <w:kern w:val="0"/>
                <w:sz w:val="24"/>
              </w:rPr>
              <w:t>学校鼓励引导学生达到《国家学生体质健康标准》良好及以上水平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center"/>
              <w:rPr>
                <w:kern w:val="0"/>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eastAsia="仿宋_GB2312"/>
                <w:kern w:val="2"/>
                <w:sz w:val="24"/>
                <w:szCs w:val="24"/>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587"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textAlignment w:val="center"/>
              <w:rPr>
                <w:kern w:val="0"/>
                <w:sz w:val="24"/>
              </w:rPr>
            </w:pPr>
            <w:r>
              <w:rPr>
                <w:kern w:val="0"/>
                <w:sz w:val="24"/>
              </w:rPr>
              <w:t>（九）</w:t>
            </w:r>
          </w:p>
          <w:p>
            <w:pPr>
              <w:spacing w:line="300" w:lineRule="exact"/>
              <w:jc w:val="center"/>
              <w:textAlignment w:val="center"/>
              <w:rPr>
                <w:rFonts w:hint="eastAsia"/>
                <w:kern w:val="0"/>
                <w:sz w:val="24"/>
              </w:rPr>
            </w:pPr>
            <w:r>
              <w:rPr>
                <w:kern w:val="0"/>
                <w:sz w:val="24"/>
              </w:rPr>
              <w:t>青少年</w:t>
            </w:r>
          </w:p>
          <w:p>
            <w:pPr>
              <w:spacing w:line="300" w:lineRule="exact"/>
              <w:jc w:val="center"/>
              <w:rPr>
                <w:sz w:val="24"/>
              </w:rPr>
            </w:pPr>
            <w:r>
              <w:rPr>
                <w:kern w:val="0"/>
                <w:sz w:val="24"/>
              </w:rPr>
              <w:t>健康促进行动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highlight w:val="none"/>
              </w:rPr>
            </w:pPr>
            <w:r>
              <w:rPr>
                <w:kern w:val="0"/>
                <w:sz w:val="24"/>
                <w:highlight w:val="none"/>
              </w:rPr>
              <w:t>符合要求的中小学体育与健康课程开课率（%）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eastAsia="仿宋_GB2312"/>
                <w:kern w:val="2"/>
                <w:sz w:val="24"/>
                <w:szCs w:val="24"/>
                <w:lang w:val="en-US" w:eastAsia="zh-CN" w:bidi="ar-SA"/>
              </w:rPr>
            </w:pPr>
            <w:r>
              <w:rPr>
                <w:sz w:val="24"/>
              </w:rPr>
              <w:t>100</w:t>
            </w: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r>
      <w:tr>
        <w:tblPrEx>
          <w:tblCellMar>
            <w:top w:w="15" w:type="dxa"/>
            <w:left w:w="15" w:type="dxa"/>
            <w:bottom w:w="15" w:type="dxa"/>
            <w:right w:w="15" w:type="dxa"/>
          </w:tblCellMar>
        </w:tblPrEx>
        <w:trPr>
          <w:trHeight w:val="52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highlight w:val="none"/>
              </w:rPr>
            </w:pPr>
            <w:r>
              <w:rPr>
                <w:kern w:val="0"/>
                <w:sz w:val="24"/>
                <w:highlight w:val="none"/>
              </w:rPr>
              <w:t>中小学生每天校内体育活动时间（小时）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eastAsia="仿宋_GB2312"/>
                <w:kern w:val="2"/>
                <w:sz w:val="24"/>
                <w:szCs w:val="24"/>
                <w:lang w:val="en-US" w:eastAsia="zh-CN" w:bidi="ar-SA"/>
              </w:rPr>
            </w:pPr>
            <w:r>
              <w:rPr>
                <w:sz w:val="24"/>
              </w:rPr>
              <w:t>1</w:t>
            </w: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w:t>
            </w:r>
          </w:p>
        </w:tc>
      </w:tr>
      <w:tr>
        <w:tblPrEx>
          <w:tblCellMar>
            <w:top w:w="15" w:type="dxa"/>
            <w:left w:w="15" w:type="dxa"/>
            <w:bottom w:w="15" w:type="dxa"/>
            <w:right w:w="15" w:type="dxa"/>
          </w:tblCellMar>
        </w:tblPrEx>
        <w:trPr>
          <w:trHeight w:val="44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highlight w:val="none"/>
              </w:rPr>
            </w:pPr>
            <w:r>
              <w:rPr>
                <w:kern w:val="0"/>
                <w:sz w:val="24"/>
                <w:highlight w:val="none"/>
              </w:rPr>
              <w:t>学生眼保健操普及率（%）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eastAsia="仿宋_GB2312"/>
                <w:kern w:val="2"/>
                <w:sz w:val="24"/>
                <w:szCs w:val="24"/>
                <w:lang w:val="en-US" w:eastAsia="zh-CN" w:bidi="ar-SA"/>
              </w:rPr>
            </w:pPr>
            <w:r>
              <w:rPr>
                <w:sz w:val="24"/>
              </w:rPr>
              <w:t>100</w:t>
            </w: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r>
      <w:tr>
        <w:tblPrEx>
          <w:tblCellMar>
            <w:top w:w="15" w:type="dxa"/>
            <w:left w:w="15" w:type="dxa"/>
            <w:bottom w:w="15" w:type="dxa"/>
            <w:right w:w="15" w:type="dxa"/>
          </w:tblCellMar>
        </w:tblPrEx>
        <w:trPr>
          <w:trHeight w:val="1780"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highlight w:val="none"/>
              </w:rPr>
            </w:pPr>
            <w:r>
              <w:rPr>
                <w:kern w:val="0"/>
                <w:sz w:val="24"/>
                <w:highlight w:val="none"/>
              </w:rPr>
              <w:t>寄宿制中小学校或600名学生以上的非寄宿制中小学校配</w:t>
            </w:r>
            <w:r>
              <w:rPr>
                <w:spacing w:val="-6"/>
                <w:kern w:val="0"/>
                <w:sz w:val="24"/>
                <w:highlight w:val="none"/>
              </w:rPr>
              <w:t>备专职卫生专业技术人员、600名学生以下的非寄宿制中小学校配备专兼职保健教师或卫生专业技术人员的比例（%）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default" w:eastAsia="仿宋_GB2312"/>
                <w:kern w:val="2"/>
                <w:sz w:val="24"/>
                <w:szCs w:val="24"/>
                <w:lang w:val="en-US" w:eastAsia="zh-CN" w:bidi="ar-SA"/>
              </w:rPr>
            </w:pPr>
            <w:r>
              <w:rPr>
                <w:rFonts w:hint="eastAsia"/>
                <w:kern w:val="2"/>
                <w:sz w:val="24"/>
                <w:szCs w:val="24"/>
                <w:lang w:val="en-US" w:eastAsia="zh-CN" w:bidi="ar-SA"/>
              </w:rPr>
              <w:t>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r>
      <w:tr>
        <w:tblPrEx>
          <w:tblCellMar>
            <w:top w:w="15" w:type="dxa"/>
            <w:left w:w="15" w:type="dxa"/>
            <w:bottom w:w="15" w:type="dxa"/>
            <w:right w:w="15" w:type="dxa"/>
          </w:tblCellMar>
        </w:tblPrEx>
        <w:trPr>
          <w:trHeight w:val="655"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highlight w:val="none"/>
              </w:rPr>
            </w:pPr>
            <w:r>
              <w:rPr>
                <w:kern w:val="0"/>
                <w:sz w:val="24"/>
                <w:highlight w:val="none"/>
              </w:rPr>
              <w:t>配备专兼职心理健康工作人员的中小学校比例（%）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default" w:eastAsia="仿宋_GB2312"/>
                <w:kern w:val="2"/>
                <w:sz w:val="24"/>
                <w:szCs w:val="24"/>
                <w:lang w:val="en-US" w:eastAsia="zh-CN" w:bidi="ar-SA"/>
              </w:rPr>
            </w:pPr>
            <w:r>
              <w:rPr>
                <w:rFonts w:hint="eastAsia"/>
                <w:sz w:val="24"/>
                <w:lang w:val="en-US" w:eastAsia="zh-CN"/>
              </w:rPr>
              <w:t>90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r>
      <w:tr>
        <w:tblPrEx>
          <w:tblCellMar>
            <w:top w:w="15" w:type="dxa"/>
            <w:left w:w="15" w:type="dxa"/>
            <w:bottom w:w="15" w:type="dxa"/>
            <w:right w:w="15" w:type="dxa"/>
          </w:tblCellMar>
        </w:tblPrEx>
        <w:trPr>
          <w:trHeight w:val="1208" w:hRule="atLeast"/>
          <w:tblHeader/>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（十）</w:t>
            </w:r>
          </w:p>
          <w:p>
            <w:pPr>
              <w:spacing w:line="300" w:lineRule="exact"/>
              <w:jc w:val="center"/>
              <w:textAlignment w:val="center"/>
              <w:rPr>
                <w:kern w:val="0"/>
                <w:sz w:val="24"/>
              </w:rPr>
            </w:pPr>
            <w:r>
              <w:rPr>
                <w:kern w:val="0"/>
                <w:sz w:val="24"/>
              </w:rPr>
              <w:t>职业健康</w:t>
            </w:r>
          </w:p>
          <w:p>
            <w:pPr>
              <w:spacing w:line="300" w:lineRule="exact"/>
              <w:jc w:val="center"/>
              <w:textAlignment w:val="center"/>
              <w:rPr>
                <w:sz w:val="24"/>
              </w:rPr>
            </w:pPr>
            <w:r>
              <w:rPr>
                <w:kern w:val="0"/>
                <w:sz w:val="24"/>
              </w:rPr>
              <w:t>保护行动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工伤保险参保人数（亿人）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稳步提升</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实现工伤保险法定人群参保全覆盖</w:t>
            </w:r>
          </w:p>
        </w:tc>
      </w:tr>
      <w:tr>
        <w:tblPrEx>
          <w:tblCellMar>
            <w:top w:w="15" w:type="dxa"/>
            <w:left w:w="15" w:type="dxa"/>
            <w:bottom w:w="15" w:type="dxa"/>
            <w:right w:w="15" w:type="dxa"/>
          </w:tblCellMar>
        </w:tblPrEx>
        <w:trPr>
          <w:trHeight w:val="1513"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接尘工龄不足5年的劳动者新发尘肺病报告病例数占年度报告总例数比例（%）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2</w:t>
            </w:r>
            <w:r>
              <w:rPr>
                <w:spacing w:val="-28"/>
                <w:kern w:val="0"/>
                <w:sz w:val="24"/>
              </w:rPr>
              <w:t>019-2022年平均值较2015-2018年平均值明显下降</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持续下降</w:t>
            </w:r>
          </w:p>
        </w:tc>
      </w:tr>
      <w:tr>
        <w:tblPrEx>
          <w:tblCellMar>
            <w:top w:w="15" w:type="dxa"/>
            <w:left w:w="15" w:type="dxa"/>
            <w:bottom w:w="15" w:type="dxa"/>
            <w:right w:w="15" w:type="dxa"/>
          </w:tblCellMar>
        </w:tblPrEx>
        <w:trPr>
          <w:trHeight w:val="608"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重点行业劳动者对本岗位主要危害及防护知识知晓率（%）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持续保持</w:t>
            </w:r>
          </w:p>
        </w:tc>
      </w:tr>
      <w:tr>
        <w:tblPrEx>
          <w:tblCellMar>
            <w:top w:w="15" w:type="dxa"/>
            <w:left w:w="15" w:type="dxa"/>
            <w:bottom w:w="15" w:type="dxa"/>
            <w:right w:w="15" w:type="dxa"/>
          </w:tblCellMar>
        </w:tblPrEx>
        <w:trPr>
          <w:trHeight w:val="1670"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8"/>
                <w:kern w:val="0"/>
                <w:sz w:val="24"/>
              </w:rPr>
              <w:t>鼓励各用人单位做好员工健康管理，评选“健康达人”，国家机关、学校、医疗卫生机构、国有企业等用人单位应支持员工率先树立健康形象，并予以奖励</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1967"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对从事长时间、高强度重复用力、快速移动等作业方式以及视屏作业人员，采取推广先进工艺技术、调整作息时间等措施，预防和控制过度疲劳和工</w:t>
            </w:r>
            <w:r>
              <w:rPr>
                <w:spacing w:val="-4"/>
                <w:kern w:val="0"/>
                <w:sz w:val="24"/>
              </w:rPr>
              <w:t>作相关肌肉骨骼系统疾病发生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10"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采取综合措施降低或消除工作压力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07"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辖区职业健康检查和职业病诊断服务覆盖率（%）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r>
      <w:tr>
        <w:tblPrEx>
          <w:tblCellMar>
            <w:top w:w="15" w:type="dxa"/>
            <w:left w:w="15" w:type="dxa"/>
            <w:bottom w:w="15" w:type="dxa"/>
            <w:right w:w="15" w:type="dxa"/>
          </w:tblCellMar>
        </w:tblPrEx>
        <w:trPr>
          <w:trHeight w:val="465" w:hRule="exact"/>
          <w:tblHeader/>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（十一）</w:t>
            </w:r>
          </w:p>
          <w:p>
            <w:pPr>
              <w:spacing w:line="300" w:lineRule="exact"/>
              <w:jc w:val="center"/>
              <w:textAlignment w:val="center"/>
              <w:rPr>
                <w:kern w:val="0"/>
                <w:sz w:val="24"/>
              </w:rPr>
            </w:pPr>
            <w:r>
              <w:rPr>
                <w:kern w:val="0"/>
                <w:sz w:val="24"/>
              </w:rPr>
              <w:t>老年健康</w:t>
            </w:r>
          </w:p>
          <w:p>
            <w:pPr>
              <w:spacing w:line="300" w:lineRule="exact"/>
              <w:jc w:val="center"/>
              <w:textAlignment w:val="center"/>
              <w:rPr>
                <w:sz w:val="24"/>
              </w:rPr>
            </w:pPr>
            <w:r>
              <w:rPr>
                <w:kern w:val="0"/>
                <w:sz w:val="24"/>
              </w:rPr>
              <w:t>促进行动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10"/>
                <w:kern w:val="0"/>
                <w:sz w:val="24"/>
              </w:rPr>
              <w:t>65-74岁老年人失能发生率（%）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有所下降</w:t>
            </w:r>
          </w:p>
        </w:tc>
      </w:tr>
      <w:tr>
        <w:tblPrEx>
          <w:tblCellMar>
            <w:top w:w="15" w:type="dxa"/>
            <w:left w:w="15" w:type="dxa"/>
            <w:bottom w:w="15" w:type="dxa"/>
            <w:right w:w="15" w:type="dxa"/>
          </w:tblCellMar>
        </w:tblPrEx>
        <w:trPr>
          <w:trHeight w:val="652"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65岁及以上人群老年期痴呆患病率（%）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增速下降</w:t>
            </w:r>
          </w:p>
        </w:tc>
      </w:tr>
      <w:tr>
        <w:tblPrEx>
          <w:tblCellMar>
            <w:top w:w="15" w:type="dxa"/>
            <w:left w:w="15" w:type="dxa"/>
            <w:bottom w:w="15" w:type="dxa"/>
            <w:right w:w="15" w:type="dxa"/>
          </w:tblCellMar>
        </w:tblPrEx>
        <w:trPr>
          <w:trHeight w:val="492"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老年健康核心信息知晓率（%）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不断提高</w:t>
            </w:r>
          </w:p>
        </w:tc>
      </w:tr>
      <w:tr>
        <w:tblPrEx>
          <w:tblCellMar>
            <w:top w:w="15" w:type="dxa"/>
            <w:left w:w="15" w:type="dxa"/>
            <w:bottom w:w="15" w:type="dxa"/>
            <w:right w:w="15" w:type="dxa"/>
          </w:tblCellMar>
        </w:tblPrEx>
        <w:trPr>
          <w:trHeight w:val="1185"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81</w:t>
            </w:r>
          </w:p>
        </w:tc>
        <w:tc>
          <w:tcPr>
            <w:tcW w:w="3295"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left"/>
              <w:textAlignment w:val="center"/>
              <w:rPr>
                <w:sz w:val="24"/>
              </w:rPr>
            </w:pPr>
            <w:r>
              <w:rPr>
                <w:kern w:val="0"/>
                <w:sz w:val="24"/>
              </w:rPr>
              <w:t>提倡老年人参加定期体检，经常监测呼吸、脉搏、血压、大小便情况，接受家庭医生团队的健康指导</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1270" w:hRule="atLeast"/>
          <w:tblHeader/>
          <w:jc w:val="center"/>
        </w:trPr>
        <w:tc>
          <w:tcPr>
            <w:tcW w:w="1100"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textAlignment w:val="cente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82</w:t>
            </w:r>
          </w:p>
        </w:tc>
        <w:tc>
          <w:tcPr>
            <w:tcW w:w="3295"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textAlignment w:val="center"/>
              <w:rPr>
                <w:kern w:val="0"/>
                <w:sz w:val="24"/>
              </w:rPr>
            </w:pPr>
            <w:r>
              <w:rPr>
                <w:kern w:val="0"/>
                <w:sz w:val="24"/>
              </w:rPr>
              <w:t>鼓励和支持老年大学、老年活动中心、基层老年协会、有资质的社会组织等为老年人组织开展健康活动</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倡导性</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p>
        </w:tc>
        <w:tc>
          <w:tcPr>
            <w:tcW w:w="1142"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p>
        </w:tc>
      </w:tr>
      <w:tr>
        <w:tblPrEx>
          <w:tblCellMar>
            <w:top w:w="15" w:type="dxa"/>
            <w:left w:w="15" w:type="dxa"/>
            <w:bottom w:w="15" w:type="dxa"/>
            <w:right w:w="15" w:type="dxa"/>
          </w:tblCellMar>
        </w:tblPrEx>
        <w:trPr>
          <w:trHeight w:val="998" w:hRule="atLeast"/>
          <w:tblHeader/>
          <w:jc w:val="center"/>
        </w:trPr>
        <w:tc>
          <w:tcPr>
            <w:tcW w:w="110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sz w:val="24"/>
              </w:rPr>
            </w:pPr>
            <w:r>
              <w:rPr>
                <w:color w:val="000000"/>
                <w:sz w:val="24"/>
              </w:rPr>
              <w:t>（十二）残疾预防健康行动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二级以上医疗机构设置康复医学科比例（%）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r>
              <w:rPr>
                <w:kern w:val="0"/>
                <w:sz w:val="24"/>
              </w:rPr>
              <w:t>100</w:t>
            </w:r>
          </w:p>
        </w:tc>
      </w:tr>
      <w:tr>
        <w:tblPrEx>
          <w:tblCellMar>
            <w:top w:w="15" w:type="dxa"/>
            <w:left w:w="15" w:type="dxa"/>
            <w:bottom w:w="15" w:type="dxa"/>
            <w:right w:w="15" w:type="dxa"/>
          </w:tblCellMar>
        </w:tblPrEx>
        <w:trPr>
          <w:trHeight w:val="467" w:hRule="atLeast"/>
          <w:tblHeader/>
          <w:jc w:val="center"/>
        </w:trPr>
        <w:tc>
          <w:tcPr>
            <w:tcW w:w="1100" w:type="dxa"/>
            <w:vMerge w:val="restart"/>
            <w:tcBorders>
              <w:top w:val="single" w:color="auto"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（十三）</w:t>
            </w:r>
          </w:p>
          <w:p>
            <w:pPr>
              <w:spacing w:line="300" w:lineRule="exact"/>
              <w:jc w:val="center"/>
              <w:textAlignment w:val="center"/>
              <w:rPr>
                <w:sz w:val="24"/>
              </w:rPr>
            </w:pPr>
            <w:r>
              <w:rPr>
                <w:kern w:val="0"/>
                <w:sz w:val="24"/>
              </w:rPr>
              <w:t>重点慢性病防治行动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84</w:t>
            </w:r>
          </w:p>
        </w:tc>
        <w:tc>
          <w:tcPr>
            <w:tcW w:w="3295"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5"/>
                <w:kern w:val="0"/>
                <w:sz w:val="24"/>
              </w:rPr>
              <w:t>心脑血管疾病死亡率（1/10万）</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≤291.7</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 xml:space="preserve">≤265.2 </w:t>
            </w:r>
          </w:p>
        </w:tc>
      </w:tr>
      <w:tr>
        <w:tblPrEx>
          <w:tblCellMar>
            <w:top w:w="15" w:type="dxa"/>
            <w:left w:w="15" w:type="dxa"/>
            <w:bottom w:w="15" w:type="dxa"/>
            <w:right w:w="15" w:type="dxa"/>
          </w:tblCellMar>
        </w:tblPrEx>
        <w:trPr>
          <w:trHeight w:val="411"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总体癌症5年生存率（%）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≥43.3</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 xml:space="preserve">≥46.6 </w:t>
            </w:r>
          </w:p>
        </w:tc>
      </w:tr>
      <w:tr>
        <w:tblPrEx>
          <w:tblCellMar>
            <w:top w:w="15" w:type="dxa"/>
            <w:left w:w="15" w:type="dxa"/>
            <w:bottom w:w="15" w:type="dxa"/>
            <w:right w:w="15" w:type="dxa"/>
          </w:tblCellMar>
        </w:tblPrEx>
        <w:trPr>
          <w:trHeight w:val="62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70岁及以下人群慢性呼吸系统疾病死亡率（1/10万）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≤8.1</w:t>
            </w:r>
          </w:p>
        </w:tc>
      </w:tr>
      <w:tr>
        <w:tblPrEx>
          <w:tblCellMar>
            <w:top w:w="15" w:type="dxa"/>
            <w:left w:w="15" w:type="dxa"/>
            <w:bottom w:w="15" w:type="dxa"/>
            <w:right w:w="15" w:type="dxa"/>
          </w:tblCellMar>
        </w:tblPrEx>
        <w:trPr>
          <w:trHeight w:val="90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87</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spacing w:val="-6"/>
                <w:kern w:val="0"/>
                <w:sz w:val="24"/>
              </w:rPr>
              <w:t>30-70岁人群因心脑血管疾病、癌症、慢性呼吸系统疾病和糖尿病导致的过早死亡率（%）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rFonts w:hint="eastAsia" w:ascii="仿宋_GB2312" w:hAnsi="宋体" w:eastAsia="仿宋_GB2312" w:cs="宋体"/>
                <w:color w:val="000000"/>
                <w:kern w:val="0"/>
                <w:sz w:val="24"/>
                <w:szCs w:val="24"/>
                <w:lang w:val="en-US" w:eastAsia="zh-CN"/>
              </w:rPr>
              <w:t>9.26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≤15.9</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≤13.0</w:t>
            </w:r>
          </w:p>
        </w:tc>
      </w:tr>
      <w:tr>
        <w:tblPrEx>
          <w:tblCellMar>
            <w:top w:w="15" w:type="dxa"/>
            <w:left w:w="15" w:type="dxa"/>
            <w:bottom w:w="15" w:type="dxa"/>
            <w:right w:w="15" w:type="dxa"/>
          </w:tblCellMar>
        </w:tblPrEx>
        <w:trPr>
          <w:trHeight w:val="40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人群健康体检率（%）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持续提高</w:t>
            </w:r>
          </w:p>
        </w:tc>
      </w:tr>
      <w:tr>
        <w:tblPrEx>
          <w:tblCellMar>
            <w:top w:w="15" w:type="dxa"/>
            <w:left w:w="15" w:type="dxa"/>
            <w:bottom w:w="15" w:type="dxa"/>
            <w:right w:w="15" w:type="dxa"/>
          </w:tblCellMar>
        </w:tblPrEx>
        <w:trPr>
          <w:trHeight w:val="876"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18岁及以上成人定期自我监测血压，血压正常高值人群和其他高危人群经常测量血压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1508"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40岁以下血脂正常人群每2-5年检测1次血脂，40岁及以上人群至少每年检测1次血脂，心脑血管疾病高危人群每6个月检测1次血脂</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1340"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基本实现40岁及以上人群每年至少检测1次空腹血糖，糖尿病前期人群每6个月检测1次空腹或餐后2小时血糖</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800"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rPr>
                <w:sz w:val="24"/>
              </w:rPr>
            </w:pPr>
          </w:p>
        </w:tc>
        <w:tc>
          <w:tcPr>
            <w:tcW w:w="743"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sz w:val="24"/>
              </w:rPr>
            </w:pPr>
            <w:r>
              <w:rPr>
                <w:kern w:val="0"/>
                <w:sz w:val="24"/>
              </w:rPr>
              <w:t>92</w:t>
            </w:r>
          </w:p>
        </w:tc>
        <w:tc>
          <w:tcPr>
            <w:tcW w:w="3295"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left"/>
              <w:textAlignment w:val="center"/>
              <w:rPr>
                <w:sz w:val="24"/>
              </w:rPr>
            </w:pPr>
            <w:r>
              <w:rPr>
                <w:kern w:val="0"/>
                <w:sz w:val="24"/>
              </w:rPr>
              <w:t>基本实现癌症高危人群定期参加防癌体检</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73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93</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40岁及以上人群或慢性呼吸系统疾病高危人群每年检查肺功能1次</w:t>
            </w:r>
          </w:p>
        </w:tc>
        <w:tc>
          <w:tcPr>
            <w:tcW w:w="1050"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94</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30岁及以上居民高血压知晓率(%)</w:t>
            </w:r>
          </w:p>
        </w:tc>
        <w:tc>
          <w:tcPr>
            <w:tcW w:w="1050"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≥65</w:t>
            </w:r>
          </w:p>
        </w:tc>
      </w:tr>
      <w:tr>
        <w:tblPrEx>
          <w:tblCellMar>
            <w:top w:w="15" w:type="dxa"/>
            <w:left w:w="15" w:type="dxa"/>
            <w:bottom w:w="15" w:type="dxa"/>
            <w:right w:w="15" w:type="dxa"/>
          </w:tblCellMar>
        </w:tblPrEx>
        <w:trPr>
          <w:trHeight w:val="441"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95</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高血压患者规范管理率（%）</w:t>
            </w:r>
          </w:p>
        </w:tc>
        <w:tc>
          <w:tcPr>
            <w:tcW w:w="1050"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≥70</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96</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高血压治疗率（%）</w:t>
            </w:r>
          </w:p>
        </w:tc>
        <w:tc>
          <w:tcPr>
            <w:tcW w:w="1050"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持续提高</w:t>
            </w:r>
          </w:p>
        </w:tc>
      </w:tr>
      <w:tr>
        <w:tblPrEx>
          <w:tblCellMar>
            <w:top w:w="15" w:type="dxa"/>
            <w:left w:w="15" w:type="dxa"/>
            <w:bottom w:w="15" w:type="dxa"/>
            <w:right w:w="15" w:type="dxa"/>
          </w:tblCellMar>
        </w:tblPrEx>
        <w:trPr>
          <w:trHeight w:val="471" w:hRule="atLeast"/>
          <w:tblHeader/>
          <w:jc w:val="center"/>
        </w:trPr>
        <w:tc>
          <w:tcPr>
            <w:tcW w:w="1100" w:type="dxa"/>
            <w:vMerge w:val="continue"/>
            <w:tcBorders>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97</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高血压控制率（%）</w:t>
            </w:r>
          </w:p>
        </w:tc>
        <w:tc>
          <w:tcPr>
            <w:tcW w:w="1050"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持续提高</w:t>
            </w:r>
          </w:p>
        </w:tc>
      </w:tr>
      <w:tr>
        <w:tblPrEx>
          <w:tblCellMar>
            <w:top w:w="15" w:type="dxa"/>
            <w:left w:w="15" w:type="dxa"/>
            <w:bottom w:w="15" w:type="dxa"/>
            <w:right w:w="15" w:type="dxa"/>
          </w:tblCellMar>
        </w:tblPrEx>
        <w:trPr>
          <w:trHeight w:val="997" w:hRule="atLeast"/>
          <w:tblHeader/>
          <w:jc w:val="center"/>
        </w:trPr>
        <w:tc>
          <w:tcPr>
            <w:tcW w:w="1100" w:type="dxa"/>
            <w:vMerge w:val="restart"/>
            <w:tcBorders>
              <w:top w:val="single" w:color="auto" w:sz="4" w:space="0"/>
              <w:left w:val="single" w:color="auto" w:sz="4" w:space="0"/>
              <w:right w:val="single" w:color="auto" w:sz="4" w:space="0"/>
            </w:tcBorders>
            <w:noWrap w:val="0"/>
            <w:vAlign w:val="center"/>
          </w:tcPr>
          <w:p>
            <w:pPr>
              <w:spacing w:line="300" w:lineRule="exact"/>
              <w:jc w:val="center"/>
              <w:textAlignment w:val="center"/>
              <w:rPr>
                <w:kern w:val="0"/>
                <w:sz w:val="24"/>
              </w:rPr>
            </w:pPr>
            <w:r>
              <w:rPr>
                <w:kern w:val="0"/>
                <w:sz w:val="24"/>
              </w:rPr>
              <w:t>（十三）</w:t>
            </w:r>
          </w:p>
          <w:p>
            <w:pPr>
              <w:spacing w:line="300" w:lineRule="exact"/>
              <w:jc w:val="center"/>
              <w:rPr>
                <w:sz w:val="24"/>
              </w:rPr>
            </w:pPr>
            <w:r>
              <w:rPr>
                <w:kern w:val="0"/>
                <w:sz w:val="24"/>
              </w:rPr>
              <w:t>重点慢性病防治行动</w:t>
            </w: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98</w:t>
            </w:r>
          </w:p>
        </w:tc>
        <w:tc>
          <w:tcPr>
            <w:tcW w:w="3295" w:type="dxa"/>
            <w:tcBorders>
              <w:top w:val="single" w:color="auto"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静脉溶栓技术开展情况</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所有二级及以上综合公立医院卒中中心均开展</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所有二级及以上医院卒中中心均开展</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99</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35岁及以上居民年度血脂检测率（%）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≥27</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≥35</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100</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18岁及以上居民糖尿病知晓率(%)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≥60</w:t>
            </w:r>
          </w:p>
        </w:tc>
      </w:tr>
      <w:tr>
        <w:tblPrEx>
          <w:tblCellMar>
            <w:top w:w="15" w:type="dxa"/>
            <w:left w:w="15" w:type="dxa"/>
            <w:bottom w:w="15" w:type="dxa"/>
            <w:right w:w="15" w:type="dxa"/>
          </w:tblCellMar>
        </w:tblPrEx>
        <w:trPr>
          <w:trHeight w:val="318"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101</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糖尿病患者规范管理率(%)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≥60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≥70</w:t>
            </w:r>
          </w:p>
        </w:tc>
      </w:tr>
      <w:tr>
        <w:tblPrEx>
          <w:tblCellMar>
            <w:top w:w="15" w:type="dxa"/>
            <w:left w:w="15" w:type="dxa"/>
            <w:bottom w:w="15" w:type="dxa"/>
            <w:right w:w="15" w:type="dxa"/>
          </w:tblCellMar>
        </w:tblPrEx>
        <w:trPr>
          <w:trHeight w:val="293"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102</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糖尿病治疗率（%）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持续提高</w:t>
            </w:r>
          </w:p>
        </w:tc>
      </w:tr>
      <w:tr>
        <w:tblPrEx>
          <w:tblCellMar>
            <w:top w:w="15" w:type="dxa"/>
            <w:left w:w="15" w:type="dxa"/>
            <w:bottom w:w="15" w:type="dxa"/>
            <w:right w:w="15" w:type="dxa"/>
          </w:tblCellMar>
        </w:tblPrEx>
        <w:trPr>
          <w:trHeight w:val="471"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103</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糖尿病控制率（%）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持续提高</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104</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癌症防治核心知识知晓率(%)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≥80</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105</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高发地区重点癌种早诊率（%）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持续提高</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106</w:t>
            </w:r>
          </w:p>
        </w:tc>
        <w:tc>
          <w:tcPr>
            <w:tcW w:w="3295" w:type="dxa"/>
            <w:vMerge w:val="restart"/>
            <w:tcBorders>
              <w:top w:val="single" w:color="000000" w:sz="4" w:space="0"/>
              <w:left w:val="single" w:color="auto" w:sz="4" w:space="0"/>
              <w:right w:val="single" w:color="000000" w:sz="4" w:space="0"/>
            </w:tcBorders>
            <w:noWrap w:val="0"/>
            <w:vAlign w:val="center"/>
          </w:tcPr>
          <w:p>
            <w:pPr>
              <w:spacing w:line="300" w:lineRule="exact"/>
              <w:jc w:val="left"/>
              <w:textAlignment w:val="center"/>
              <w:rPr>
                <w:sz w:val="24"/>
              </w:rPr>
            </w:pPr>
            <w:r>
              <w:rPr>
                <w:kern w:val="0"/>
                <w:sz w:val="24"/>
              </w:rPr>
              <w:t>乡镇卫生院、社区卫生服务中心提供中医非药物疗法的比例（%），村卫生室提供中医非药物疗法的比例（%）</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约束性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p>
        </w:tc>
        <w:tc>
          <w:tcPr>
            <w:tcW w:w="3295" w:type="dxa"/>
            <w:vMerge w:val="continue"/>
            <w:tcBorders>
              <w:left w:val="single" w:color="auto" w:sz="4" w:space="0"/>
              <w:bottom w:val="single" w:color="000000" w:sz="4" w:space="0"/>
              <w:right w:val="single" w:color="000000" w:sz="4" w:space="0"/>
            </w:tcBorders>
            <w:noWrap w:val="0"/>
            <w:vAlign w:val="center"/>
          </w:tcPr>
          <w:p>
            <w:pPr>
              <w:spacing w:line="300" w:lineRule="exact"/>
              <w:jc w:val="left"/>
              <w:rPr>
                <w:sz w:val="24"/>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70</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80</w:t>
            </w:r>
          </w:p>
        </w:tc>
      </w:tr>
      <w:tr>
        <w:tblPrEx>
          <w:tblCellMar>
            <w:top w:w="15" w:type="dxa"/>
            <w:left w:w="15" w:type="dxa"/>
            <w:bottom w:w="15" w:type="dxa"/>
            <w:right w:w="15" w:type="dxa"/>
          </w:tblCellMar>
        </w:tblPrEx>
        <w:trPr>
          <w:trHeight w:val="737" w:hRule="atLeast"/>
          <w:tblHeader/>
          <w:jc w:val="center"/>
        </w:trPr>
        <w:tc>
          <w:tcPr>
            <w:tcW w:w="1100" w:type="dxa"/>
            <w:vMerge w:val="continue"/>
            <w:tcBorders>
              <w:left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107</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鼓励开展群众性应急救护培训，取得培训证书的居民比例(%)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sz w:val="24"/>
              </w:rPr>
            </w:pPr>
          </w:p>
        </w:tc>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108</w:t>
            </w:r>
          </w:p>
        </w:tc>
        <w:tc>
          <w:tcPr>
            <w:tcW w:w="3295"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40岁及以上居民慢阻肺知晓率(%)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≥30</w:t>
            </w:r>
          </w:p>
        </w:tc>
      </w:tr>
      <w:tr>
        <w:tblPrEx>
          <w:tblCellMar>
            <w:top w:w="15" w:type="dxa"/>
            <w:left w:w="15" w:type="dxa"/>
            <w:bottom w:w="15" w:type="dxa"/>
            <w:right w:w="15" w:type="dxa"/>
          </w:tblCellMar>
        </w:tblPrEx>
        <w:trPr>
          <w:trHeight w:val="437" w:hRule="atLeast"/>
          <w:tblHeader/>
          <w:jc w:val="center"/>
        </w:trPr>
        <w:tc>
          <w:tcPr>
            <w:tcW w:w="1100" w:type="dxa"/>
            <w:vMerge w:val="restart"/>
            <w:tcBorders>
              <w:top w:val="single" w:color="auto"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（十四）</w:t>
            </w:r>
          </w:p>
          <w:p>
            <w:pPr>
              <w:spacing w:line="300" w:lineRule="exact"/>
              <w:jc w:val="center"/>
              <w:textAlignment w:val="center"/>
              <w:rPr>
                <w:kern w:val="0"/>
                <w:sz w:val="24"/>
              </w:rPr>
            </w:pPr>
            <w:r>
              <w:rPr>
                <w:kern w:val="0"/>
                <w:sz w:val="24"/>
              </w:rPr>
              <w:t>传染病</w:t>
            </w:r>
          </w:p>
          <w:p>
            <w:pPr>
              <w:spacing w:line="300" w:lineRule="exact"/>
              <w:jc w:val="center"/>
              <w:textAlignment w:val="center"/>
              <w:rPr>
                <w:sz w:val="24"/>
              </w:rPr>
            </w:pPr>
            <w:r>
              <w:rPr>
                <w:kern w:val="0"/>
                <w:sz w:val="24"/>
              </w:rPr>
              <w:t>防控行动</w:t>
            </w:r>
          </w:p>
        </w:tc>
        <w:tc>
          <w:tcPr>
            <w:tcW w:w="743"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艾滋病全人群感染率(%)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＜0.15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＜0.2</w:t>
            </w:r>
          </w:p>
        </w:tc>
      </w:tr>
      <w:tr>
        <w:tblPrEx>
          <w:tblCellMar>
            <w:top w:w="15" w:type="dxa"/>
            <w:left w:w="15" w:type="dxa"/>
            <w:bottom w:w="15" w:type="dxa"/>
            <w:right w:w="15" w:type="dxa"/>
          </w:tblCellMar>
        </w:tblPrEx>
        <w:trPr>
          <w:trHeight w:val="615"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5岁以下儿童乙型肝炎病毒表面抗原流行率（%）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＜0.5</w:t>
            </w:r>
          </w:p>
        </w:tc>
      </w:tr>
      <w:tr>
        <w:tblPrEx>
          <w:tblCellMar>
            <w:top w:w="15" w:type="dxa"/>
            <w:left w:w="15" w:type="dxa"/>
            <w:bottom w:w="15" w:type="dxa"/>
            <w:right w:w="15" w:type="dxa"/>
          </w:tblCellMar>
        </w:tblPrEx>
        <w:trPr>
          <w:trHeight w:val="56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肺结核发病率（1/10万）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＜55</w:t>
            </w: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有效控制</w:t>
            </w:r>
          </w:p>
        </w:tc>
      </w:tr>
      <w:tr>
        <w:tblPrEx>
          <w:tblCellMar>
            <w:top w:w="15" w:type="dxa"/>
            <w:left w:w="15" w:type="dxa"/>
            <w:bottom w:w="15" w:type="dxa"/>
            <w:right w:w="15" w:type="dxa"/>
          </w:tblCellMar>
        </w:tblPrEx>
        <w:trPr>
          <w:trHeight w:val="73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提倡负责任和安全的性行为，鼓励使用安全套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62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咳嗽、打喷嚏时用胳膊或纸巾掩口鼻，正确、文明吐痰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sz w:val="24"/>
              </w:rPr>
            </w:pPr>
          </w:p>
        </w:tc>
      </w:tr>
      <w:tr>
        <w:tblPrEx>
          <w:tblCellMar>
            <w:top w:w="15" w:type="dxa"/>
            <w:left w:w="15" w:type="dxa"/>
            <w:bottom w:w="15" w:type="dxa"/>
            <w:right w:w="15" w:type="dxa"/>
          </w:tblCellMar>
        </w:tblPrEx>
        <w:trPr>
          <w:trHeight w:val="737"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充分认识疫苗对预防疾病的重要作用，积极接种疫苗</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114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r>
      <w:tr>
        <w:tblPrEx>
          <w:tblCellMar>
            <w:top w:w="15" w:type="dxa"/>
            <w:left w:w="15" w:type="dxa"/>
            <w:bottom w:w="15" w:type="dxa"/>
            <w:right w:w="15" w:type="dxa"/>
          </w:tblCellMar>
        </w:tblPrEx>
        <w:trPr>
          <w:trHeight w:val="737" w:hRule="atLeast"/>
          <w:tblHeader/>
          <w:jc w:val="center"/>
        </w:trPr>
        <w:tc>
          <w:tcPr>
            <w:tcW w:w="1100" w:type="dxa"/>
            <w:vMerge w:val="continue"/>
            <w:tcBorders>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115</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以乡（镇、街道）为单位适龄儿童免疫规划疫苗接种率(%)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≥95</w:t>
            </w:r>
          </w:p>
        </w:tc>
      </w:tr>
      <w:tr>
        <w:tblPrEx>
          <w:tblCellMar>
            <w:top w:w="15" w:type="dxa"/>
            <w:left w:w="15" w:type="dxa"/>
            <w:bottom w:w="15" w:type="dxa"/>
            <w:right w:w="15" w:type="dxa"/>
          </w:tblCellMar>
        </w:tblPrEx>
        <w:trPr>
          <w:trHeight w:val="877" w:hRule="atLeast"/>
          <w:tblHeader/>
          <w:jc w:val="center"/>
        </w:trPr>
        <w:tc>
          <w:tcPr>
            <w:tcW w:w="1100"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kern w:val="0"/>
                <w:sz w:val="24"/>
              </w:rPr>
            </w:pPr>
            <w:r>
              <w:rPr>
                <w:kern w:val="0"/>
                <w:sz w:val="24"/>
              </w:rPr>
              <w:t>（十五）</w:t>
            </w:r>
          </w:p>
          <w:p>
            <w:pPr>
              <w:spacing w:line="300" w:lineRule="exact"/>
              <w:jc w:val="center"/>
              <w:textAlignment w:val="center"/>
              <w:rPr>
                <w:kern w:val="0"/>
                <w:sz w:val="24"/>
              </w:rPr>
            </w:pPr>
            <w:r>
              <w:rPr>
                <w:kern w:val="0"/>
                <w:sz w:val="24"/>
              </w:rPr>
              <w:t>地方病</w:t>
            </w:r>
          </w:p>
          <w:p>
            <w:pPr>
              <w:spacing w:line="300" w:lineRule="exact"/>
              <w:jc w:val="center"/>
              <w:textAlignment w:val="center"/>
              <w:rPr>
                <w:sz w:val="24"/>
              </w:rPr>
            </w:pPr>
            <w:r>
              <w:rPr>
                <w:kern w:val="0"/>
                <w:sz w:val="24"/>
              </w:rPr>
              <w:t>防控行动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116</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达到基本控制要求的包虫病流行县比例(%)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r>
      <w:tr>
        <w:tblPrEx>
          <w:tblCellMar>
            <w:top w:w="15" w:type="dxa"/>
            <w:left w:w="15" w:type="dxa"/>
            <w:bottom w:w="15" w:type="dxa"/>
            <w:right w:w="15" w:type="dxa"/>
          </w:tblCellMar>
        </w:tblPrEx>
        <w:trPr>
          <w:trHeight w:val="1080" w:hRule="atLeast"/>
          <w:tblHeader/>
          <w:jc w:val="center"/>
        </w:trPr>
        <w:tc>
          <w:tcPr>
            <w:tcW w:w="110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kern w:val="0"/>
                <w:sz w:val="24"/>
              </w:rPr>
            </w:pPr>
          </w:p>
        </w:tc>
        <w:tc>
          <w:tcPr>
            <w:tcW w:w="743" w:type="dxa"/>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117</w:t>
            </w:r>
          </w:p>
        </w:tc>
        <w:tc>
          <w:tcPr>
            <w:tcW w:w="3295" w:type="dxa"/>
            <w:tcBorders>
              <w:top w:val="single" w:color="000000" w:sz="4" w:space="0"/>
              <w:left w:val="single" w:color="000000" w:sz="4" w:space="0"/>
              <w:right w:val="single" w:color="000000" w:sz="4" w:space="0"/>
            </w:tcBorders>
            <w:noWrap w:val="0"/>
            <w:vAlign w:val="center"/>
          </w:tcPr>
          <w:p>
            <w:pPr>
              <w:spacing w:line="300" w:lineRule="exact"/>
              <w:jc w:val="left"/>
              <w:textAlignment w:val="center"/>
              <w:rPr>
                <w:kern w:val="0"/>
                <w:sz w:val="24"/>
              </w:rPr>
            </w:pPr>
            <w:r>
              <w:rPr>
                <w:kern w:val="0"/>
                <w:sz w:val="24"/>
              </w:rPr>
              <w:t>无输入性第二代继发病例，</w:t>
            </w:r>
          </w:p>
          <w:p>
            <w:pPr>
              <w:spacing w:line="300" w:lineRule="exact"/>
              <w:jc w:val="left"/>
              <w:textAlignment w:val="center"/>
              <w:rPr>
                <w:kern w:val="0"/>
                <w:sz w:val="24"/>
              </w:rPr>
            </w:pPr>
            <w:r>
              <w:rPr>
                <w:kern w:val="0"/>
                <w:sz w:val="24"/>
              </w:rPr>
              <w:t>及时诊断和治疗输入性疟疾病例（例）</w:t>
            </w:r>
          </w:p>
        </w:tc>
        <w:tc>
          <w:tcPr>
            <w:tcW w:w="1050" w:type="dxa"/>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不断提高</w:t>
            </w:r>
          </w:p>
        </w:tc>
      </w:tr>
      <w:tr>
        <w:tblPrEx>
          <w:tblCellMar>
            <w:top w:w="15" w:type="dxa"/>
            <w:left w:w="15" w:type="dxa"/>
            <w:bottom w:w="15" w:type="dxa"/>
            <w:right w:w="15" w:type="dxa"/>
          </w:tblCellMar>
        </w:tblPrEx>
        <w:trPr>
          <w:trHeight w:val="455" w:hRule="atLeast"/>
          <w:tblHeader/>
          <w:jc w:val="center"/>
        </w:trPr>
        <w:tc>
          <w:tcPr>
            <w:tcW w:w="110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118</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血吸虫病防治</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r>
              <w:rPr>
                <w:sz w:val="24"/>
              </w:rPr>
              <w:t>无</w:t>
            </w:r>
          </w:p>
        </w:tc>
      </w:tr>
      <w:tr>
        <w:tblPrEx>
          <w:tblCellMar>
            <w:top w:w="15" w:type="dxa"/>
            <w:left w:w="15" w:type="dxa"/>
            <w:bottom w:w="15" w:type="dxa"/>
            <w:right w:w="15" w:type="dxa"/>
          </w:tblCellMar>
        </w:tblPrEx>
        <w:trPr>
          <w:trHeight w:val="877" w:hRule="atLeast"/>
          <w:tblHeader/>
          <w:jc w:val="center"/>
        </w:trPr>
        <w:tc>
          <w:tcPr>
            <w:tcW w:w="110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119</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燃煤污染型氟砷中毒、大骨节病和克山病危害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spacing w:val="-20"/>
                <w:kern w:val="0"/>
                <w:sz w:val="24"/>
                <w:lang w:bidi="ar"/>
              </w:rPr>
              <w:t>基本控制或消除</w:t>
            </w: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保持基本消除</w:t>
            </w:r>
          </w:p>
        </w:tc>
      </w:tr>
      <w:tr>
        <w:tblPrEx>
          <w:tblCellMar>
            <w:top w:w="15" w:type="dxa"/>
            <w:left w:w="15" w:type="dxa"/>
            <w:bottom w:w="15" w:type="dxa"/>
            <w:right w:w="15" w:type="dxa"/>
          </w:tblCellMar>
        </w:tblPrEx>
        <w:trPr>
          <w:trHeight w:val="740" w:hRule="atLeast"/>
          <w:tblHeader/>
          <w:jc w:val="center"/>
        </w:trPr>
        <w:tc>
          <w:tcPr>
            <w:tcW w:w="110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120</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饮水型氟砷中毒、水源性高碘危害</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spacing w:val="-20"/>
                <w:kern w:val="0"/>
                <w:sz w:val="24"/>
                <w:lang w:bidi="ar"/>
              </w:rPr>
              <w:t>基本消除</w:t>
            </w:r>
          </w:p>
        </w:tc>
        <w:tc>
          <w:tcPr>
            <w:tcW w:w="2192"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有效控制</w:t>
            </w:r>
          </w:p>
        </w:tc>
      </w:tr>
      <w:tr>
        <w:tblPrEx>
          <w:tblCellMar>
            <w:top w:w="15" w:type="dxa"/>
            <w:left w:w="15" w:type="dxa"/>
            <w:bottom w:w="15" w:type="dxa"/>
            <w:right w:w="15" w:type="dxa"/>
          </w:tblCellMar>
        </w:tblPrEx>
        <w:trPr>
          <w:gridAfter w:val="1"/>
          <w:wAfter w:w="20" w:type="dxa"/>
          <w:trHeight w:val="1453" w:hRule="atLeast"/>
          <w:tblHeader/>
          <w:jc w:val="center"/>
        </w:trPr>
        <w:tc>
          <w:tcPr>
            <w:tcW w:w="1100"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（十六）</w:t>
            </w:r>
          </w:p>
          <w:p>
            <w:pPr>
              <w:spacing w:line="300" w:lineRule="exact"/>
              <w:jc w:val="center"/>
              <w:textAlignment w:val="center"/>
              <w:rPr>
                <w:kern w:val="0"/>
                <w:sz w:val="24"/>
              </w:rPr>
            </w:pPr>
            <w:r>
              <w:rPr>
                <w:kern w:val="0"/>
                <w:sz w:val="24"/>
              </w:rPr>
              <w:t>健康细胞</w:t>
            </w:r>
          </w:p>
          <w:p>
            <w:pPr>
              <w:spacing w:line="300" w:lineRule="exact"/>
              <w:jc w:val="center"/>
              <w:textAlignment w:val="center"/>
              <w:rPr>
                <w:sz w:val="24"/>
              </w:rPr>
            </w:pPr>
            <w:r>
              <w:rPr>
                <w:kern w:val="0"/>
                <w:sz w:val="24"/>
              </w:rPr>
              <w:t>示范建设行动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121</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健康细胞建设广泛开展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sz w:val="24"/>
              </w:rPr>
            </w:pPr>
            <w:r>
              <w:rPr>
                <w:kern w:val="0"/>
                <w:sz w:val="24"/>
              </w:rPr>
              <w:t>形成一批具有典型示范作用的健康细胞。</w:t>
            </w: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sz w:val="24"/>
              </w:rPr>
            </w:pPr>
            <w:r>
              <w:rPr>
                <w:kern w:val="0"/>
                <w:sz w:val="24"/>
              </w:rPr>
              <w:t>健康细胞建设覆盖社会各个方面，健康服务落实到社会所有居民。</w:t>
            </w:r>
          </w:p>
        </w:tc>
      </w:tr>
      <w:tr>
        <w:tblPrEx>
          <w:tblCellMar>
            <w:top w:w="15" w:type="dxa"/>
            <w:left w:w="15" w:type="dxa"/>
            <w:bottom w:w="15" w:type="dxa"/>
            <w:right w:w="15" w:type="dxa"/>
          </w:tblCellMar>
        </w:tblPrEx>
        <w:trPr>
          <w:gridAfter w:val="1"/>
          <w:wAfter w:w="20" w:type="dxa"/>
          <w:trHeight w:val="915" w:hRule="atLeast"/>
          <w:tblHeader/>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（十八）医养在汉中融合发展行动</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122</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二级以上综合性医院设老年医学科比例（%）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sz w:val="24"/>
              </w:rPr>
              <w:t>持续巩固</w:t>
            </w:r>
            <w:r>
              <w:rPr>
                <w:kern w:val="0"/>
                <w:sz w:val="24"/>
              </w:rPr>
              <w:t xml:space="preserve"> </w:t>
            </w:r>
          </w:p>
        </w:tc>
      </w:tr>
      <w:tr>
        <w:tblPrEx>
          <w:tblCellMar>
            <w:top w:w="15" w:type="dxa"/>
            <w:left w:w="15" w:type="dxa"/>
            <w:bottom w:w="15" w:type="dxa"/>
            <w:right w:w="15" w:type="dxa"/>
          </w:tblCellMar>
        </w:tblPrEx>
        <w:trPr>
          <w:gridAfter w:val="1"/>
          <w:wAfter w:w="20" w:type="dxa"/>
          <w:trHeight w:val="567"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123</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sz w:val="24"/>
              </w:rPr>
            </w:pPr>
            <w:r>
              <w:rPr>
                <w:kern w:val="0"/>
                <w:sz w:val="24"/>
              </w:rPr>
              <w:t>养老机构以不同形式为入住老年人提供医疗卫生服务比例（%）</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100</w:t>
            </w:r>
          </w:p>
        </w:tc>
        <w:tc>
          <w:tcPr>
            <w:tcW w:w="11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持续改善</w:t>
            </w:r>
          </w:p>
        </w:tc>
      </w:tr>
      <w:tr>
        <w:tblPrEx>
          <w:tblCellMar>
            <w:top w:w="15" w:type="dxa"/>
            <w:left w:w="15" w:type="dxa"/>
            <w:bottom w:w="15" w:type="dxa"/>
            <w:right w:w="15" w:type="dxa"/>
          </w:tblCellMar>
        </w:tblPrEx>
        <w:trPr>
          <w:gridAfter w:val="1"/>
          <w:wAfter w:w="20" w:type="dxa"/>
          <w:trHeight w:val="567"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124</w:t>
            </w:r>
          </w:p>
        </w:tc>
        <w:tc>
          <w:tcPr>
            <w:tcW w:w="32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color w:val="FF0000"/>
                <w:sz w:val="24"/>
              </w:rPr>
            </w:pPr>
            <w:r>
              <w:rPr>
                <w:spacing w:val="-5"/>
                <w:sz w:val="24"/>
              </w:rPr>
              <w:t>每百名老人有护理型床位（张）</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sz w:val="24"/>
              </w:rPr>
            </w:pPr>
          </w:p>
        </w:tc>
        <w:tc>
          <w:tcPr>
            <w:tcW w:w="1050" w:type="dxa"/>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sz w:val="24"/>
              </w:rPr>
            </w:pPr>
            <w:r>
              <w:rPr>
                <w:sz w:val="24"/>
              </w:rPr>
              <w:t>≥2.5</w:t>
            </w:r>
          </w:p>
        </w:tc>
        <w:tc>
          <w:tcPr>
            <w:tcW w:w="1122"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left"/>
              <w:textAlignment w:val="center"/>
              <w:rPr>
                <w:color w:val="FF0000"/>
                <w:sz w:val="24"/>
              </w:rPr>
            </w:pPr>
            <w:r>
              <w:rPr>
                <w:kern w:val="0"/>
                <w:sz w:val="24"/>
              </w:rPr>
              <w:t>持续增长</w:t>
            </w:r>
          </w:p>
        </w:tc>
      </w:tr>
      <w:tr>
        <w:tblPrEx>
          <w:tblCellMar>
            <w:top w:w="15" w:type="dxa"/>
            <w:left w:w="15" w:type="dxa"/>
            <w:bottom w:w="15" w:type="dxa"/>
            <w:right w:w="15" w:type="dxa"/>
          </w:tblCellMar>
        </w:tblPrEx>
        <w:trPr>
          <w:gridAfter w:val="1"/>
          <w:wAfter w:w="20" w:type="dxa"/>
          <w:trHeight w:val="788" w:hRule="atLeast"/>
          <w:tblHeader/>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sz w:val="24"/>
              </w:rPr>
            </w:pP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sz w:val="24"/>
              </w:rPr>
            </w:pPr>
            <w:r>
              <w:rPr>
                <w:kern w:val="0"/>
                <w:sz w:val="24"/>
              </w:rPr>
              <w:t>125</w:t>
            </w:r>
          </w:p>
        </w:tc>
        <w:tc>
          <w:tcPr>
            <w:tcW w:w="3295" w:type="dxa"/>
            <w:tcBorders>
              <w:top w:val="single" w:color="000000" w:sz="4" w:space="0"/>
              <w:left w:val="single" w:color="000000"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鼓励和支持社会力量参与、兴办居家养老服务机构</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倡导性</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p>
        </w:tc>
      </w:tr>
      <w:tr>
        <w:tblPrEx>
          <w:tblCellMar>
            <w:top w:w="15" w:type="dxa"/>
            <w:left w:w="15" w:type="dxa"/>
            <w:bottom w:w="15" w:type="dxa"/>
            <w:right w:w="15" w:type="dxa"/>
          </w:tblCellMar>
        </w:tblPrEx>
        <w:trPr>
          <w:gridAfter w:val="1"/>
          <w:wAfter w:w="20" w:type="dxa"/>
          <w:trHeight w:val="481" w:hRule="atLeast"/>
          <w:tblHeader/>
          <w:jc w:val="center"/>
        </w:trPr>
        <w:tc>
          <w:tcPr>
            <w:tcW w:w="1100"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kern w:val="0"/>
                <w:sz w:val="24"/>
              </w:rPr>
            </w:pPr>
            <w:r>
              <w:rPr>
                <w:kern w:val="0"/>
                <w:sz w:val="24"/>
              </w:rPr>
              <w:t>（十八）</w:t>
            </w:r>
          </w:p>
          <w:p>
            <w:pPr>
              <w:spacing w:line="300" w:lineRule="exact"/>
              <w:jc w:val="center"/>
              <w:rPr>
                <w:sz w:val="24"/>
              </w:rPr>
            </w:pPr>
            <w:r>
              <w:rPr>
                <w:kern w:val="0"/>
                <w:sz w:val="24"/>
              </w:rPr>
              <w:t>健康保障完善行动</w:t>
            </w:r>
          </w:p>
        </w:tc>
        <w:tc>
          <w:tcPr>
            <w:tcW w:w="743" w:type="dxa"/>
            <w:tcBorders>
              <w:top w:val="single" w:color="000000" w:sz="4" w:space="0"/>
              <w:left w:val="single" w:color="000000" w:sz="4" w:space="0"/>
              <w:right w:val="single" w:color="auto" w:sz="4" w:space="0"/>
            </w:tcBorders>
            <w:noWrap w:val="0"/>
            <w:vAlign w:val="center"/>
          </w:tcPr>
          <w:p>
            <w:pPr>
              <w:spacing w:line="300" w:lineRule="exact"/>
              <w:jc w:val="center"/>
              <w:textAlignment w:val="center"/>
              <w:rPr>
                <w:sz w:val="24"/>
              </w:rPr>
            </w:pPr>
            <w:r>
              <w:rPr>
                <w:sz w:val="24"/>
              </w:rPr>
              <w:t>126</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平均每千人口卫生技术人员数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9.92</w:t>
            </w: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13.58</w:t>
            </w:r>
          </w:p>
        </w:tc>
      </w:tr>
      <w:tr>
        <w:tblPrEx>
          <w:tblCellMar>
            <w:top w:w="15" w:type="dxa"/>
            <w:left w:w="15" w:type="dxa"/>
            <w:bottom w:w="15" w:type="dxa"/>
            <w:right w:w="15" w:type="dxa"/>
          </w:tblCellMar>
        </w:tblPrEx>
        <w:trPr>
          <w:gridAfter w:val="1"/>
          <w:wAfter w:w="20" w:type="dxa"/>
          <w:trHeight w:val="739"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left w:val="single" w:color="000000" w:sz="4" w:space="0"/>
              <w:right w:val="single" w:color="auto" w:sz="4" w:space="0"/>
            </w:tcBorders>
            <w:noWrap w:val="0"/>
            <w:vAlign w:val="center"/>
          </w:tcPr>
          <w:p>
            <w:pPr>
              <w:spacing w:line="300" w:lineRule="exact"/>
              <w:jc w:val="center"/>
              <w:rPr>
                <w:sz w:val="24"/>
              </w:rPr>
            </w:pPr>
            <w:r>
              <w:rPr>
                <w:sz w:val="24"/>
              </w:rPr>
              <w:t>127</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每千常住人口执业（助理）医师数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default" w:eastAsia="仿宋_GB2312"/>
                <w:sz w:val="24"/>
                <w:lang w:val="en-US" w:eastAsia="zh-CN"/>
              </w:rPr>
            </w:pPr>
            <w:r>
              <w:rPr>
                <w:rFonts w:hint="eastAsia"/>
                <w:sz w:val="24"/>
                <w:lang w:val="en-US" w:eastAsia="zh-CN"/>
              </w:rPr>
              <w:t>4.4</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2.6</w:t>
            </w: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3.0</w:t>
            </w:r>
          </w:p>
        </w:tc>
      </w:tr>
      <w:tr>
        <w:tblPrEx>
          <w:tblCellMar>
            <w:top w:w="15" w:type="dxa"/>
            <w:left w:w="15" w:type="dxa"/>
            <w:bottom w:w="15" w:type="dxa"/>
            <w:right w:w="15" w:type="dxa"/>
          </w:tblCellMar>
        </w:tblPrEx>
        <w:trPr>
          <w:gridAfter w:val="1"/>
          <w:wAfter w:w="20" w:type="dxa"/>
          <w:trHeight w:val="372" w:hRule="atLeast"/>
          <w:tblHeader/>
          <w:jc w:val="center"/>
        </w:trPr>
        <w:tc>
          <w:tcPr>
            <w:tcW w:w="1100" w:type="dxa"/>
            <w:vMerge w:val="continue"/>
            <w:tcBorders>
              <w:left w:val="single" w:color="000000" w:sz="4" w:space="0"/>
              <w:right w:val="single" w:color="000000" w:sz="4" w:space="0"/>
            </w:tcBorders>
            <w:noWrap w:val="0"/>
            <w:vAlign w:val="center"/>
          </w:tcPr>
          <w:p>
            <w:pPr>
              <w:spacing w:line="300" w:lineRule="exact"/>
              <w:jc w:val="center"/>
              <w:rPr>
                <w:sz w:val="24"/>
              </w:rPr>
            </w:pPr>
          </w:p>
        </w:tc>
        <w:tc>
          <w:tcPr>
            <w:tcW w:w="743" w:type="dxa"/>
            <w:tcBorders>
              <w:left w:val="single" w:color="000000" w:sz="4" w:space="0"/>
              <w:right w:val="single" w:color="auto" w:sz="4" w:space="0"/>
            </w:tcBorders>
            <w:noWrap w:val="0"/>
            <w:vAlign w:val="center"/>
          </w:tcPr>
          <w:p>
            <w:pPr>
              <w:spacing w:line="300" w:lineRule="exact"/>
              <w:jc w:val="center"/>
              <w:rPr>
                <w:sz w:val="24"/>
              </w:rPr>
            </w:pPr>
            <w:r>
              <w:rPr>
                <w:sz w:val="24"/>
              </w:rPr>
              <w:t>128</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平均每千人口注册护士数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4.76</w:t>
            </w: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8.5</w:t>
            </w:r>
          </w:p>
        </w:tc>
      </w:tr>
      <w:tr>
        <w:tblPrEx>
          <w:tblCellMar>
            <w:top w:w="15" w:type="dxa"/>
            <w:left w:w="15" w:type="dxa"/>
            <w:bottom w:w="15" w:type="dxa"/>
            <w:right w:w="15" w:type="dxa"/>
          </w:tblCellMar>
        </w:tblPrEx>
        <w:trPr>
          <w:gridAfter w:val="1"/>
          <w:wAfter w:w="20" w:type="dxa"/>
          <w:trHeight w:val="66" w:hRule="atLeast"/>
          <w:tblHeader/>
          <w:jc w:val="center"/>
        </w:trPr>
        <w:tc>
          <w:tcPr>
            <w:tcW w:w="1100" w:type="dxa"/>
            <w:vMerge w:val="continue"/>
            <w:tcBorders>
              <w:left w:val="single" w:color="000000" w:sz="4" w:space="0"/>
              <w:bottom w:val="single" w:color="auto" w:sz="4" w:space="0"/>
              <w:right w:val="single" w:color="000000" w:sz="4" w:space="0"/>
            </w:tcBorders>
            <w:noWrap w:val="0"/>
            <w:vAlign w:val="center"/>
          </w:tcPr>
          <w:p>
            <w:pPr>
              <w:spacing w:line="300" w:lineRule="exact"/>
              <w:jc w:val="center"/>
              <w:rPr>
                <w:sz w:val="24"/>
              </w:rPr>
            </w:pPr>
          </w:p>
        </w:tc>
        <w:tc>
          <w:tcPr>
            <w:tcW w:w="743" w:type="dxa"/>
            <w:tcBorders>
              <w:left w:val="single" w:color="000000" w:sz="4" w:space="0"/>
              <w:right w:val="single" w:color="auto" w:sz="4" w:space="0"/>
            </w:tcBorders>
            <w:noWrap w:val="0"/>
            <w:vAlign w:val="center"/>
          </w:tcPr>
          <w:p>
            <w:pPr>
              <w:spacing w:line="300" w:lineRule="exact"/>
              <w:jc w:val="center"/>
              <w:rPr>
                <w:sz w:val="24"/>
              </w:rPr>
            </w:pPr>
            <w:r>
              <w:rPr>
                <w:sz w:val="24"/>
              </w:rPr>
              <w:t>129</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sz w:val="24"/>
              </w:rPr>
            </w:pPr>
            <w:r>
              <w:rPr>
                <w:kern w:val="0"/>
                <w:sz w:val="24"/>
              </w:rPr>
              <w:t>远程医疗覆盖率（%）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预期性</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sz w:val="24"/>
              </w:rPr>
            </w:pPr>
            <w:r>
              <w:rPr>
                <w:kern w:val="0"/>
                <w:sz w:val="24"/>
              </w:rPr>
              <w:t>50</w:t>
            </w: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kern w:val="0"/>
                <w:sz w:val="24"/>
              </w:rPr>
            </w:pPr>
            <w:r>
              <w:rPr>
                <w:kern w:val="0"/>
                <w:sz w:val="24"/>
              </w:rPr>
              <w:t>达到全国</w:t>
            </w:r>
          </w:p>
          <w:p>
            <w:pPr>
              <w:spacing w:line="300" w:lineRule="exact"/>
              <w:jc w:val="center"/>
              <w:textAlignment w:val="center"/>
              <w:rPr>
                <w:sz w:val="24"/>
              </w:rPr>
            </w:pPr>
            <w:r>
              <w:rPr>
                <w:kern w:val="0"/>
                <w:sz w:val="24"/>
              </w:rPr>
              <w:t>先进水平</w:t>
            </w:r>
          </w:p>
        </w:tc>
      </w:tr>
      <w:tr>
        <w:tblPrEx>
          <w:tblCellMar>
            <w:top w:w="15" w:type="dxa"/>
            <w:left w:w="15" w:type="dxa"/>
            <w:bottom w:w="15" w:type="dxa"/>
            <w:right w:w="15" w:type="dxa"/>
          </w:tblCellMar>
        </w:tblPrEx>
        <w:trPr>
          <w:gridAfter w:val="1"/>
          <w:wAfter w:w="20" w:type="dxa"/>
          <w:trHeight w:val="525" w:hRule="atLeast"/>
          <w:tblHeader/>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pPr>
            <w:r>
              <w:rPr>
                <w:sz w:val="24"/>
              </w:rPr>
              <w:t>健康水平</w:t>
            </w:r>
          </w:p>
        </w:tc>
        <w:tc>
          <w:tcPr>
            <w:tcW w:w="743"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textAlignment w:val="center"/>
              <w:rPr>
                <w:kern w:val="0"/>
                <w:sz w:val="24"/>
              </w:rPr>
            </w:pPr>
            <w:r>
              <w:rPr>
                <w:kern w:val="0"/>
                <w:sz w:val="24"/>
              </w:rPr>
              <w:t>130</w:t>
            </w:r>
          </w:p>
        </w:tc>
        <w:tc>
          <w:tcPr>
            <w:tcW w:w="32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kern w:val="0"/>
                <w:sz w:val="24"/>
              </w:rPr>
            </w:pPr>
            <w:r>
              <w:rPr>
                <w:kern w:val="0"/>
                <w:sz w:val="24"/>
              </w:rPr>
              <w:t>人均预期寿命（岁）</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kern w:val="0"/>
                <w:sz w:val="24"/>
              </w:rPr>
            </w:pPr>
            <w:r>
              <w:rPr>
                <w:kern w:val="0"/>
                <w:sz w:val="24"/>
              </w:rPr>
              <w:t>预期性</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kern w:val="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kern w:val="0"/>
                <w:sz w:val="24"/>
              </w:rPr>
            </w:pPr>
            <w:r>
              <w:rPr>
                <w:kern w:val="0"/>
                <w:sz w:val="24"/>
              </w:rPr>
              <w:t>77.7</w:t>
            </w: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kern w:val="0"/>
                <w:sz w:val="24"/>
              </w:rPr>
            </w:pPr>
            <w:r>
              <w:rPr>
                <w:kern w:val="0"/>
                <w:sz w:val="24"/>
              </w:rPr>
              <w:t>78.5</w:t>
            </w:r>
          </w:p>
        </w:tc>
      </w:tr>
    </w:tbl>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三、重大行动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（一）健康知识普及行动。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1.完善健康教育服务体系。推进</w:t>
      </w:r>
      <w:r>
        <w:rPr>
          <w:rFonts w:hint="eastAsia"/>
          <w:lang w:eastAsia="zh-CN"/>
        </w:rPr>
        <w:t>区</w:t>
      </w:r>
      <w:r>
        <w:t>健康教育所建设，健全</w:t>
      </w:r>
      <w:r>
        <w:rPr>
          <w:rFonts w:hint="eastAsia"/>
          <w:lang w:val="en-US" w:eastAsia="zh-CN"/>
        </w:rPr>
        <w:t>区镇村</w:t>
      </w:r>
      <w:r>
        <w:t>三级健康教育工作机制，建成以专业健康教育机构为引领、公共卫生机构和基层卫生服务机构为骨干、医疗机构为支撑的健康教育体系。提升健康教育人员能力。建立以健康促进为核心、社区为基础、家庭为单位、学校与工矿企业和公共场所为重点的健康教育工作模式。加强健康教育服务示范基地建设。开展健康促进县（区）创建。建立医疗机构和医务人员开展健康教育和健康促进的绩效考核机制。建立健康科普专家库、资源库，构建全媒体健康科普知识发布和传播机制。编制重点人群、重点健康问题知识信息指南，并向社会发布。动员社会力量参与健康知识普及。开展全</w:t>
      </w:r>
      <w:r>
        <w:rPr>
          <w:rFonts w:hint="eastAsia"/>
          <w:lang w:eastAsia="zh-CN"/>
        </w:rPr>
        <w:t>区</w:t>
      </w:r>
      <w:r>
        <w:t>居民健康素养监测。到2022年和2030年，全</w:t>
      </w:r>
      <w:r>
        <w:rPr>
          <w:rFonts w:hint="eastAsia"/>
          <w:lang w:val="en-US" w:eastAsia="zh-CN"/>
        </w:rPr>
        <w:t>区</w:t>
      </w:r>
      <w:r>
        <w:t>居民健康素养水平分别不低于19％和30％。</w:t>
      </w:r>
      <w:r>
        <w:rPr>
          <w:rFonts w:hint="eastAsia"/>
        </w:rPr>
        <w:t>（</w:t>
      </w:r>
      <w:r>
        <w:rPr>
          <w:rFonts w:hint="eastAsia"/>
          <w:lang w:val="en-US" w:eastAsia="zh-CN"/>
        </w:rPr>
        <w:t>区</w:t>
      </w:r>
      <w:r>
        <w:rPr>
          <w:rFonts w:hint="eastAsia"/>
        </w:rPr>
        <w:t>卫健</w:t>
      </w:r>
      <w:r>
        <w:rPr>
          <w:rFonts w:hint="eastAsia"/>
          <w:lang w:val="en-US" w:eastAsia="zh-CN"/>
        </w:rPr>
        <w:t>局</w:t>
      </w:r>
      <w:r>
        <w:rPr>
          <w:rFonts w:hint="eastAsia"/>
        </w:rPr>
        <w:t>牵头，</w:t>
      </w:r>
      <w:r>
        <w:rPr>
          <w:rFonts w:hint="eastAsia"/>
          <w:lang w:val="en-US" w:eastAsia="zh-CN"/>
        </w:rPr>
        <w:t>区</w:t>
      </w:r>
      <w:r>
        <w:rPr>
          <w:rFonts w:hint="eastAsia"/>
        </w:rPr>
        <w:t>委编办、</w:t>
      </w:r>
      <w:r>
        <w:rPr>
          <w:rFonts w:hint="eastAsia"/>
          <w:lang w:val="en-US" w:eastAsia="zh-CN"/>
        </w:rPr>
        <w:t>区</w:t>
      </w:r>
      <w:r>
        <w:rPr>
          <w:rFonts w:hint="eastAsia"/>
        </w:rPr>
        <w:t>教</w:t>
      </w:r>
      <w:r>
        <w:rPr>
          <w:rFonts w:hint="eastAsia"/>
          <w:lang w:val="en-US" w:eastAsia="zh-CN"/>
        </w:rPr>
        <w:t>体</w:t>
      </w:r>
      <w:r>
        <w:rPr>
          <w:rFonts w:hint="eastAsia"/>
        </w:rPr>
        <w:t>局、</w:t>
      </w:r>
      <w:r>
        <w:rPr>
          <w:rFonts w:hint="eastAsia"/>
          <w:lang w:val="en-US" w:eastAsia="zh-CN"/>
        </w:rPr>
        <w:t>区</w:t>
      </w:r>
      <w:r>
        <w:rPr>
          <w:rFonts w:hint="eastAsia"/>
        </w:rPr>
        <w:t>文旅局分别负责）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2.推动健康传播全民覆盖。协调</w:t>
      </w:r>
      <w:r>
        <w:rPr>
          <w:rFonts w:hint="eastAsia"/>
          <w:lang w:val="en-US" w:eastAsia="zh-CN"/>
        </w:rPr>
        <w:t>全区</w:t>
      </w:r>
      <w:r>
        <w:t>内各级各类媒体，特别是新媒体平台，配合卫生健康部门做好健康知识传播宣传。建立共建共享的健康知识和技能传播资源库，完善核心信息发布制度。建立多部门协作机制，规范健康科普传播管理。实施全民健康素养促进行动，广泛开展健康教育进医院、进学校、进机关、进企业、进社区（村）、进家庭，普及健康知识。</w:t>
      </w:r>
      <w:r>
        <w:rPr>
          <w:rFonts w:hint="eastAsia"/>
        </w:rPr>
        <w:t>（</w:t>
      </w:r>
      <w:r>
        <w:rPr>
          <w:rFonts w:hint="eastAsia"/>
          <w:lang w:val="en-US" w:eastAsia="zh-CN"/>
        </w:rPr>
        <w:t>区</w:t>
      </w:r>
      <w:r>
        <w:rPr>
          <w:rFonts w:hint="eastAsia"/>
        </w:rPr>
        <w:t>委宣传部、</w:t>
      </w:r>
      <w:r>
        <w:rPr>
          <w:rFonts w:hint="eastAsia"/>
          <w:lang w:val="en-US" w:eastAsia="zh-CN"/>
        </w:rPr>
        <w:t>区融媒体中心</w:t>
      </w:r>
      <w:r>
        <w:rPr>
          <w:rFonts w:hint="eastAsia"/>
        </w:rPr>
        <w:t>、</w:t>
      </w:r>
      <w:r>
        <w:rPr>
          <w:rFonts w:hint="eastAsia"/>
          <w:lang w:val="en-US" w:eastAsia="zh-CN"/>
        </w:rPr>
        <w:t>区</w:t>
      </w:r>
      <w:r>
        <w:rPr>
          <w:rFonts w:hint="eastAsia"/>
        </w:rPr>
        <w:t>卫健</w:t>
      </w:r>
      <w:r>
        <w:rPr>
          <w:rFonts w:hint="eastAsia"/>
          <w:lang w:val="en-US" w:eastAsia="zh-CN"/>
        </w:rPr>
        <w:t>局</w:t>
      </w:r>
      <w:r>
        <w:rPr>
          <w:rFonts w:hint="eastAsia"/>
        </w:rPr>
        <w:t>、</w:t>
      </w:r>
      <w:r>
        <w:rPr>
          <w:rFonts w:hint="eastAsia"/>
          <w:lang w:val="en-US" w:eastAsia="zh-CN"/>
        </w:rPr>
        <w:t>区</w:t>
      </w:r>
      <w:r>
        <w:rPr>
          <w:rFonts w:hint="eastAsia"/>
        </w:rPr>
        <w:t>文旅局分别负责）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3.倡导健康文化理念。强化政府在健康文化建设中的主体地位，将健康文化建设融入城市文化建设体系。通过新闻媒体，广泛传播医学和健康知识，普及敬畏生命、关爱健康、尊重医学规律的理念，增进全社会对医学、医务人员的理解和尊重，引导居民形成科学就医理念和对医疗服务结果的合理预期。推进健康促进医院建设，强化以健康为中心的理念，加强医务人员人文教育，大力弘扬“敬佑生命、救死扶伤、甘于奉献、大爱无疆”的崇高职业精神。以“世界卫生日”“世界无烟日”等相关节日为契机，深化健康理念传播。至2022年，形成热爱健康、追求健康、促进健康的社会氛围。至2030年，健康文化理念深入人心，形成全社会关注健康、促进健康的良好氛围。</w:t>
      </w:r>
      <w:r>
        <w:rPr>
          <w:rFonts w:hint="eastAsia"/>
        </w:rPr>
        <w:t>（</w:t>
      </w:r>
      <w:r>
        <w:rPr>
          <w:rFonts w:hint="eastAsia"/>
          <w:lang w:val="en-US" w:eastAsia="zh-CN"/>
        </w:rPr>
        <w:t>区</w:t>
      </w:r>
      <w:r>
        <w:rPr>
          <w:rFonts w:hint="eastAsia"/>
        </w:rPr>
        <w:t>委宣传部、</w:t>
      </w:r>
      <w:r>
        <w:rPr>
          <w:rFonts w:hint="eastAsia"/>
          <w:lang w:val="en-US" w:eastAsia="zh-CN"/>
        </w:rPr>
        <w:t>区融媒体中心</w:t>
      </w:r>
      <w:r>
        <w:rPr>
          <w:rFonts w:hint="eastAsia"/>
        </w:rPr>
        <w:t>、</w:t>
      </w:r>
      <w:r>
        <w:rPr>
          <w:rFonts w:hint="eastAsia"/>
          <w:lang w:val="en-US" w:eastAsia="zh-CN"/>
        </w:rPr>
        <w:t>区</w:t>
      </w:r>
      <w:r>
        <w:rPr>
          <w:rFonts w:hint="eastAsia"/>
        </w:rPr>
        <w:t>卫健</w:t>
      </w:r>
      <w:r>
        <w:rPr>
          <w:rFonts w:hint="eastAsia"/>
          <w:lang w:val="en-US" w:eastAsia="zh-CN"/>
        </w:rPr>
        <w:t>局</w:t>
      </w:r>
      <w:r>
        <w:rPr>
          <w:rFonts w:hint="eastAsia"/>
        </w:rPr>
        <w:t>、</w:t>
      </w:r>
      <w:r>
        <w:rPr>
          <w:rFonts w:hint="eastAsia"/>
          <w:lang w:val="en-US" w:eastAsia="zh-CN"/>
        </w:rPr>
        <w:t>区</w:t>
      </w:r>
      <w:r>
        <w:rPr>
          <w:rFonts w:hint="eastAsia"/>
        </w:rPr>
        <w:t>文旅局分别负责）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4.推进居民健康自我管理。增强公众个人健康主体责任意识，倡导“每个人是自己健康第一责任人”的理念，提升居民健康意识、健康素养与自我管理能力。加强居民健康自我管理小组建设，不断扩大居民健康自我管理活动的覆盖范围和受益人群。推进健康自我管理多元化、规范化发展。引导家庭医生、社会体育指导员主动参与指导小组活动。医务人员掌握与岗位相适应的健康科普知识，并在诊疗过程中主动提供健康指导。倡导个人定期记录身心健康状况，了解掌握基本中医药和急救知识。加强居民应急救护技能培训演练，提高公众应急自救互救知识与技能，促进自救互救，减少灾害事故二次伤害。完善公共场所急救设施设备配备标准，在学校、机关、企事业单位和机场、车站、大型商场、电影院等人群密集场所配备急救药品、器材和设施，切实提高公共服务从业人员安全意识与应急救护技能。</w:t>
      </w:r>
      <w:r>
        <w:rPr>
          <w:rFonts w:hint="eastAsia"/>
        </w:rPr>
        <w:t>（</w:t>
      </w:r>
      <w:r>
        <w:rPr>
          <w:rFonts w:hint="eastAsia"/>
          <w:lang w:val="en-US" w:eastAsia="zh-CN"/>
        </w:rPr>
        <w:t>区</w:t>
      </w:r>
      <w:r>
        <w:rPr>
          <w:rFonts w:hint="eastAsia"/>
        </w:rPr>
        <w:t>卫健</w:t>
      </w:r>
      <w:r>
        <w:rPr>
          <w:rFonts w:hint="eastAsia"/>
          <w:lang w:val="en-US" w:eastAsia="zh-CN"/>
        </w:rPr>
        <w:t>局</w:t>
      </w:r>
      <w:r>
        <w:rPr>
          <w:rFonts w:hint="eastAsia"/>
        </w:rPr>
        <w:t>牵头，</w:t>
      </w:r>
      <w:r>
        <w:rPr>
          <w:rFonts w:hint="eastAsia"/>
          <w:lang w:val="en-US" w:eastAsia="zh-CN"/>
        </w:rPr>
        <w:t>区</w:t>
      </w:r>
      <w:r>
        <w:rPr>
          <w:rFonts w:hint="eastAsia"/>
        </w:rPr>
        <w:t>教</w:t>
      </w:r>
      <w:r>
        <w:rPr>
          <w:rFonts w:hint="eastAsia"/>
          <w:lang w:val="en-US" w:eastAsia="zh-CN"/>
        </w:rPr>
        <w:t>体</w:t>
      </w:r>
      <w:r>
        <w:rPr>
          <w:rFonts w:hint="eastAsia"/>
        </w:rPr>
        <w:t>局、</w:t>
      </w:r>
      <w:r>
        <w:rPr>
          <w:rFonts w:hint="eastAsia"/>
          <w:lang w:val="en-US" w:eastAsia="zh-CN"/>
        </w:rPr>
        <w:t>区</w:t>
      </w:r>
      <w:r>
        <w:rPr>
          <w:rFonts w:hint="eastAsia"/>
        </w:rPr>
        <w:t>市场</w:t>
      </w:r>
      <w:r>
        <w:rPr>
          <w:rFonts w:hint="eastAsia"/>
          <w:lang w:eastAsia="zh-CN"/>
        </w:rPr>
        <w:t>监督管理</w:t>
      </w:r>
      <w:r>
        <w:rPr>
          <w:rFonts w:hint="eastAsia"/>
        </w:rPr>
        <w:t>局、</w:t>
      </w:r>
      <w:r>
        <w:rPr>
          <w:rFonts w:hint="eastAsia"/>
          <w:lang w:val="en-US" w:eastAsia="zh-CN"/>
        </w:rPr>
        <w:t>区</w:t>
      </w:r>
      <w:r>
        <w:rPr>
          <w:rFonts w:hint="eastAsia"/>
        </w:rPr>
        <w:t>科协分别负责）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（二）合理膳食行动。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5.实施《国民营养计划（2017</w:t>
      </w:r>
      <w:r>
        <w:rPr>
          <w:rFonts w:hint="eastAsia"/>
          <w:lang w:eastAsia="zh-CN"/>
        </w:rPr>
        <w:t>—</w:t>
      </w:r>
      <w:r>
        <w:t>2030年）》。建立</w:t>
      </w:r>
      <w:r>
        <w:rPr>
          <w:rFonts w:hint="eastAsia"/>
          <w:lang w:eastAsia="zh-CN"/>
        </w:rPr>
        <w:t>区</w:t>
      </w:r>
      <w:r>
        <w:t>级营养健康指导委员会，加强营养法规、政策、标准等咨询和指导，推动营养立法和政策研究。定期开展居民营养与健康状况、碘营养状况、食物成分等监测，及时分析、预警影响人群健康的营养问题。利用各类媒介传播健康营养知识，推进以减盐、减油、减糖及健康口腔、健康体重、健康骨骼为重点的全民健康生活方式，引导居民自觉优化食物结构，养成科学膳食习惯。加强地方病、贫困地区的营养干预，重点推进农村义务教育学生营养改善计划和贫困地区儿童营养改善项目，着力解决微量营养素缺乏、部分人群油盐摄入过多等问题，逐步解决居民营养不足与过剩并存问题。开展健康食堂和健康餐厅创建活动，在社区配备营养指导员。加强学校标准化食堂建设，在幼儿园、学校、养老机构、医院等集体供餐单位配备营养师。倡导人均每日食盐摄入量不高于5g、成人人均每日食用油摄入量不高于25-30g、人均每日添加糖摄入量不高于25g、蔬菜和水果每日摄入量不低于500g，每日摄入食物种类不少于12种、成人维持健康体重（18.5≤BMI&lt;24），预期每万人拥有1名营养指导员。到2022年和2030年，成人肥胖增长率持续减缓，5岁以下儿童生长迟缓率分别低于7%和5%，孕妇贫血率预期低于14%和10%，居民营养健康知识知晓率分别比2019提高10%、比2022年提高10%。</w:t>
      </w:r>
      <w:r>
        <w:rPr>
          <w:rFonts w:hint="eastAsia"/>
        </w:rPr>
        <w:t>（</w:t>
      </w:r>
      <w:r>
        <w:rPr>
          <w:rFonts w:hint="eastAsia"/>
          <w:lang w:val="en-US" w:eastAsia="zh-CN"/>
        </w:rPr>
        <w:t>区</w:t>
      </w:r>
      <w:r>
        <w:rPr>
          <w:rFonts w:hint="eastAsia"/>
        </w:rPr>
        <w:t>卫健</w:t>
      </w:r>
      <w:r>
        <w:rPr>
          <w:rFonts w:hint="eastAsia"/>
          <w:lang w:val="en-US" w:eastAsia="zh-CN"/>
        </w:rPr>
        <w:t>局</w:t>
      </w:r>
      <w:r>
        <w:rPr>
          <w:rFonts w:hint="eastAsia"/>
        </w:rPr>
        <w:t>牵头，</w:t>
      </w:r>
      <w:r>
        <w:rPr>
          <w:rFonts w:hint="eastAsia"/>
          <w:lang w:eastAsia="zh-CN"/>
        </w:rPr>
        <w:t>区</w:t>
      </w:r>
      <w:r>
        <w:rPr>
          <w:rFonts w:hint="eastAsia"/>
        </w:rPr>
        <w:t>教</w:t>
      </w:r>
      <w:r>
        <w:rPr>
          <w:rFonts w:hint="eastAsia"/>
          <w:lang w:val="en-US" w:eastAsia="zh-CN"/>
        </w:rPr>
        <w:t>体</w:t>
      </w:r>
      <w:r>
        <w:rPr>
          <w:rFonts w:hint="eastAsia"/>
        </w:rPr>
        <w:t>局、</w:t>
      </w:r>
      <w:r>
        <w:rPr>
          <w:rFonts w:hint="eastAsia"/>
          <w:lang w:val="en-US" w:eastAsia="zh-CN"/>
        </w:rPr>
        <w:t>区</w:t>
      </w:r>
      <w:r>
        <w:rPr>
          <w:rFonts w:hint="eastAsia"/>
        </w:rPr>
        <w:t>民政局、</w:t>
      </w:r>
      <w:r>
        <w:rPr>
          <w:rFonts w:hint="eastAsia"/>
          <w:lang w:val="en-US" w:eastAsia="zh-CN"/>
        </w:rPr>
        <w:t>区市场监督管理局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6.加强食品安全监管。健全食品安全监管体系，制定食品安全地方标准，落实企业标准备案。加强食品质量检验检测能力建设，落实食品、食用农产品全程追溯管理和问题产品主动召回制度。全面实施食品卫生量化分级管理，严格食品生产经营许可，全面加强食品生产加工、流通企业、餐饮企业和消费环节监督检查，持续开展以小作坊、小餐饮、小摊贩和食品网络销售企业为重点的高风险食品安全整治。加强对预包装食品营养标签的监督管理，探索在外包装标示每人每日油盐糖食用合理量建议等信息，帮助消费者选择健康食品。大力发展绿色、有机、地理标志登记保护农产品和食品产业。全面推行标准化、清洁化农业生产，推进农兽药残留、重金属污染综合治理。鼓励企业进行“低糖”或者“无糖”的声称，积极推动在食品包装上使用“包装正面标识（FOP）”信息，帮助消费者快速选择健康食品。加大宣传力度，推动低糖或无糖食品的生产与消费，加强食品安全抽检和风险监测工作。</w:t>
      </w:r>
      <w:r>
        <w:rPr>
          <w:rFonts w:hint="eastAsia"/>
        </w:rPr>
        <w:t>（</w:t>
      </w:r>
      <w:r>
        <w:rPr>
          <w:rFonts w:hint="eastAsia"/>
          <w:lang w:eastAsia="zh-CN"/>
        </w:rPr>
        <w:t>区市场监督管理局</w:t>
      </w:r>
      <w:r>
        <w:rPr>
          <w:rFonts w:hint="eastAsia"/>
        </w:rPr>
        <w:t>牵头，</w:t>
      </w:r>
      <w:r>
        <w:rPr>
          <w:rFonts w:hint="eastAsia"/>
          <w:lang w:eastAsia="zh-CN"/>
        </w:rPr>
        <w:t>区</w:t>
      </w:r>
      <w:r>
        <w:rPr>
          <w:rFonts w:hint="eastAsia"/>
        </w:rPr>
        <w:t>农业农村局、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行政审批局分别负责）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（三）全民健身行动。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7.加快建设全民健身场地设施。把体育行政主管部门纳入各级国土空间规划工作协调机构，实行体育设施与城市基础设施同步规划、建设、验收；居民住宅区配套建设的体育设施，应当与居民住宅区的主体工程同步设计、施工、投入使用。推动实现体育场、体育馆、游泳馆、国民体质监测中心（站）和农村人口聚集点农民体育健身工程全覆盖。以城市绿道、健身步道、自行车道、体育公园、多功能健身场地、全民健身中心等为重点，加快15分钟健身圈建设。实施镇</w:t>
      </w:r>
      <w:r>
        <w:rPr>
          <w:rFonts w:hint="eastAsia"/>
          <w:lang w:val="en-US" w:eastAsia="zh-CN"/>
        </w:rPr>
        <w:t>村</w:t>
      </w:r>
      <w:r>
        <w:t>、社区全民健身设施提升工程。加大球</w:t>
      </w:r>
      <w:r>
        <w:rPr>
          <w:rFonts w:hint="eastAsia"/>
          <w:lang w:val="en-US" w:eastAsia="zh-CN"/>
        </w:rPr>
        <w:t>类场馆</w:t>
      </w:r>
      <w:r>
        <w:t>设施建设力度。持续推进城</w:t>
      </w:r>
      <w:r>
        <w:rPr>
          <w:rFonts w:hint="eastAsia"/>
          <w:lang w:val="en-US" w:eastAsia="zh-CN"/>
        </w:rPr>
        <w:t>乡</w:t>
      </w:r>
      <w:r>
        <w:t>江河沿岸全民健身长廊建设。完善公共体育设施免费或低收费开放政策，体育部门场馆全面开放，学校和企业体育场馆有序开放。到2022年和2030年，农村行政村体育设施覆盖率分别达到80%、100%。</w:t>
      </w:r>
      <w:r>
        <w:rPr>
          <w:rFonts w:hint="eastAsia"/>
        </w:rPr>
        <w:t>（</w:t>
      </w:r>
      <w:r>
        <w:rPr>
          <w:rFonts w:hint="eastAsia"/>
          <w:lang w:eastAsia="zh-CN"/>
        </w:rPr>
        <w:t>区教体</w:t>
      </w:r>
      <w:r>
        <w:rPr>
          <w:rFonts w:hint="eastAsia"/>
        </w:rPr>
        <w:t>局牵头，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财政局、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住建局、</w:t>
      </w:r>
      <w:r>
        <w:rPr>
          <w:rFonts w:hint="eastAsia"/>
          <w:lang w:eastAsia="zh-CN"/>
        </w:rPr>
        <w:t>区</w:t>
      </w:r>
      <w:r>
        <w:rPr>
          <w:rFonts w:hint="eastAsia"/>
        </w:rPr>
        <w:t>残联分别负责）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8.广泛开展全民健身赛事活动。健全群众性竞赛机制，激发全民健身积极性和主动性。按照“经常化、特色化、大众化、生活化”要求，大力发展足球、篮球、羽毛球等三级群众联赛，推动打造一批群众体育精品赛事。结合传统节日和重要节点，推广特色鲜明、群众喜闻乐见的各类民族民间民俗传统运动项目。到2022年和2030年，全</w:t>
      </w:r>
      <w:r>
        <w:rPr>
          <w:rFonts w:hint="eastAsia"/>
          <w:lang w:eastAsia="zh-CN"/>
        </w:rPr>
        <w:t>区</w:t>
      </w:r>
      <w:r>
        <w:t>经常参加体育锻炼的人数比例分别达到42%及以上和43%及以上。</w:t>
      </w:r>
      <w:r>
        <w:rPr>
          <w:rFonts w:hint="eastAsia"/>
        </w:rPr>
        <w:t>（</w:t>
      </w:r>
      <w:r>
        <w:rPr>
          <w:rFonts w:hint="eastAsia"/>
          <w:lang w:eastAsia="zh-CN"/>
        </w:rPr>
        <w:t>区教体</w:t>
      </w:r>
      <w:r>
        <w:rPr>
          <w:rFonts w:hint="eastAsia"/>
        </w:rPr>
        <w:t>局牵头，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财政局、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残联、</w:t>
      </w:r>
      <w:r>
        <w:rPr>
          <w:rFonts w:hint="eastAsia"/>
          <w:lang w:eastAsia="zh-CN"/>
        </w:rPr>
        <w:t>区</w:t>
      </w:r>
      <w:r>
        <w:rPr>
          <w:rFonts w:hint="eastAsia"/>
        </w:rPr>
        <w:t>总工会分别负责）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9.持续优化全民健身组织网络。推行体育总会、社会体育指导员协会、老年人体育协会、农民体育协会加若干单项体育协会“4+X”模式，形成</w:t>
      </w:r>
      <w:r>
        <w:rPr>
          <w:rFonts w:hint="eastAsia"/>
          <w:lang w:eastAsia="zh-CN"/>
        </w:rPr>
        <w:t>区</w:t>
      </w:r>
      <w:r>
        <w:t>、</w:t>
      </w:r>
      <w:r>
        <w:rPr>
          <w:rFonts w:hint="eastAsia"/>
          <w:lang w:eastAsia="zh-CN"/>
        </w:rPr>
        <w:t>镇</w:t>
      </w:r>
      <w:r>
        <w:t>、</w:t>
      </w:r>
      <w:r>
        <w:rPr>
          <w:rFonts w:hint="eastAsia"/>
          <w:lang w:eastAsia="zh-CN"/>
        </w:rPr>
        <w:t>村</w:t>
      </w:r>
      <w:r>
        <w:t>体育社会组织网络。大力发展各类体育俱乐部，加强城市街道、社区、居民小区和镇、村全民健身站点规范化建设，采取配备服装、培训学习、以奖代补、公益岗位等激励方式，不断提升社会体育指导员健身指导服务能力，实现基层群众健身有组织、有阵地、有指导。到2022年和2030年，每千人拥有社会体育指导员数量分别达到2.5人和3.5人。</w:t>
      </w:r>
      <w:r>
        <w:rPr>
          <w:rFonts w:hint="eastAsia"/>
        </w:rPr>
        <w:t>（</w:t>
      </w:r>
      <w:r>
        <w:rPr>
          <w:rFonts w:hint="eastAsia"/>
          <w:lang w:eastAsia="zh-CN"/>
        </w:rPr>
        <w:t>区教体</w:t>
      </w:r>
      <w:r>
        <w:rPr>
          <w:rFonts w:hint="eastAsia"/>
        </w:rPr>
        <w:t>局牵头，</w:t>
      </w:r>
      <w:r>
        <w:rPr>
          <w:rFonts w:hint="eastAsia"/>
          <w:lang w:eastAsia="zh-CN"/>
        </w:rPr>
        <w:t>区</w:t>
      </w:r>
      <w:r>
        <w:rPr>
          <w:rFonts w:hint="eastAsia"/>
        </w:rPr>
        <w:t>直机关工委、</w:t>
      </w:r>
      <w:r>
        <w:rPr>
          <w:rFonts w:hint="eastAsia"/>
          <w:lang w:eastAsia="zh-CN"/>
        </w:rPr>
        <w:t>区</w:t>
      </w:r>
      <w:r>
        <w:rPr>
          <w:rFonts w:hint="eastAsia"/>
        </w:rPr>
        <w:t>住建局分别负责）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10.注重科学健身指导服务。实施全民健身行动，积极倡导全民健身理念，宣传普及科学健身知识和健身方法，传授辅导健身技能。大力推进全民健身与全民健康深度融合，开展医务人员和社会体育指导员互补培训，推广运动处方，充分发挥体育在全民健康中的特有功能和作用。广泛组织开展体育健康行进机关、进社区、进镇村、进学校、进企业“五进”活动，大力推广广播体操、工间操和《国家体育锻炼标准》达标测试活动，让更多的人了解身体状况，有效开展科学健身。利用国民体质监测体系，逐步建立个人体质档案，加强数据分析应用，发挥体质监测的大健康前端预防作用。提升智慧化全民健身公共服务能力，实现资源整合、数据共享，促进体育场馆预定、赛事活动、健身指导、设施管理等综合应用，推进智慧体育建设。到2022年和2030年，我</w:t>
      </w:r>
      <w:r>
        <w:rPr>
          <w:rFonts w:hint="eastAsia"/>
          <w:lang w:eastAsia="zh-CN"/>
        </w:rPr>
        <w:t>区</w:t>
      </w:r>
      <w:r>
        <w:t>城</w:t>
      </w:r>
      <w:r>
        <w:rPr>
          <w:rFonts w:hint="eastAsia"/>
          <w:lang w:val="en-US" w:eastAsia="zh-CN"/>
        </w:rPr>
        <w:t>乡</w:t>
      </w:r>
      <w:r>
        <w:t>居民达到《国民体质测定标准》合格以上的人数比例分别为92%及以上和94%及以上。</w:t>
      </w:r>
      <w:r>
        <w:rPr>
          <w:rFonts w:hint="eastAsia"/>
        </w:rPr>
        <w:t>（</w:t>
      </w:r>
      <w:r>
        <w:rPr>
          <w:rFonts w:hint="eastAsia"/>
          <w:lang w:eastAsia="zh-CN"/>
        </w:rPr>
        <w:t>区教体</w:t>
      </w:r>
      <w:r>
        <w:rPr>
          <w:rFonts w:hint="eastAsia"/>
        </w:rPr>
        <w:t>局牵头，</w:t>
      </w:r>
      <w:r>
        <w:rPr>
          <w:rFonts w:hint="eastAsia"/>
          <w:lang w:eastAsia="zh-CN"/>
        </w:rPr>
        <w:t>区</w:t>
      </w:r>
      <w:r>
        <w:rPr>
          <w:rFonts w:hint="eastAsia"/>
        </w:rPr>
        <w:t>直机关工委、</w:t>
      </w:r>
      <w:r>
        <w:rPr>
          <w:rFonts w:hint="eastAsia"/>
          <w:lang w:eastAsia="zh-CN"/>
        </w:rPr>
        <w:t>区经贸局</w:t>
      </w:r>
      <w:r>
        <w:rPr>
          <w:rFonts w:hint="eastAsia"/>
        </w:rPr>
        <w:t>、</w:t>
      </w:r>
      <w:r>
        <w:rPr>
          <w:rFonts w:hint="eastAsia"/>
          <w:lang w:eastAsia="zh-CN"/>
        </w:rPr>
        <w:t>区</w:t>
      </w:r>
      <w:r>
        <w:rPr>
          <w:rFonts w:hint="eastAsia"/>
        </w:rPr>
        <w:t>民政局、</w:t>
      </w:r>
      <w:r>
        <w:rPr>
          <w:rFonts w:hint="eastAsia"/>
          <w:lang w:eastAsia="zh-CN"/>
        </w:rPr>
        <w:t>区</w:t>
      </w:r>
      <w:r>
        <w:rPr>
          <w:rFonts w:hint="eastAsia"/>
        </w:rPr>
        <w:t>住建局、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总工会分别负责）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（四）控烟限酒行动。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11.推进控烟履约工作。加大烟草广告监督执法力度，禁止在大众传播媒介或者公共场所、公共交通工具、户外发布烟草广告。依法规范烟草促销、赞助等行为。禁止向未成年人售烟。鼓励企业、单位出台室内全面无烟规定，为员工营造无烟工作环境，为吸烟员工戒烟提供必要帮助，逐步提高全面无烟法规保护的人口比例，到2022年和2030年分别达到30%及以上和80%及以上。积极发挥控烟志愿者作用，开展控烟志愿者培训。建</w:t>
      </w:r>
      <w:r>
        <w:rPr>
          <w:rFonts w:hint="eastAsia"/>
          <w:lang w:eastAsia="zh-CN"/>
        </w:rPr>
        <w:t>立</w:t>
      </w:r>
      <w:r>
        <w:t>烟草监测评估体系，定期开展不同人群烟草流行调查，了解掌握烟草使用情况。</w:t>
      </w:r>
      <w:r>
        <w:rPr>
          <w:rFonts w:hint="eastAsia"/>
        </w:rP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委宣传部、</w:t>
      </w:r>
      <w:r>
        <w:rPr>
          <w:rFonts w:hint="eastAsia"/>
          <w:lang w:eastAsia="zh-CN"/>
        </w:rPr>
        <w:t>区教体</w:t>
      </w:r>
      <w:r>
        <w:rPr>
          <w:rFonts w:hint="eastAsia"/>
        </w:rPr>
        <w:t>局、</w:t>
      </w:r>
      <w:r>
        <w:rPr>
          <w:rFonts w:hint="eastAsia"/>
          <w:lang w:val="en-US" w:eastAsia="zh-CN"/>
        </w:rPr>
        <w:t>市</w:t>
      </w:r>
      <w:r>
        <w:rPr>
          <w:rFonts w:hint="eastAsia"/>
        </w:rPr>
        <w:t>公安局</w:t>
      </w:r>
      <w:r>
        <w:rPr>
          <w:rFonts w:hint="eastAsia"/>
          <w:lang w:val="en-US" w:eastAsia="zh-CN"/>
        </w:rPr>
        <w:t>汉台分局</w:t>
      </w:r>
      <w:r>
        <w:rPr>
          <w:rFonts w:hint="eastAsia"/>
        </w:rPr>
        <w:t>、</w:t>
      </w:r>
      <w:r>
        <w:rPr>
          <w:rFonts w:hint="eastAsia"/>
          <w:lang w:eastAsia="zh-CN"/>
        </w:rPr>
        <w:t>区</w:t>
      </w:r>
      <w:r>
        <w:rPr>
          <w:rFonts w:hint="eastAsia"/>
        </w:rPr>
        <w:t>司法局、</w:t>
      </w:r>
      <w:r>
        <w:rPr>
          <w:rFonts w:hint="eastAsia"/>
          <w:lang w:eastAsia="zh-CN"/>
        </w:rPr>
        <w:t>区市场监督管理局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12.开展无烟限酒环境建设。实施无烟机关、无烟中小学建设推进行动。到2022年基本实现建成无烟党政机关，2030年持续保持无烟党政机关建设。提倡无烟文化，鼓励个人戒烟，创建无烟家庭，保护家人免受二手烟危害，提高公众无烟意识，提高社会文明程度。鼓励领导干部、医务人员和教师发挥控烟引领作用。开展烟草危害科普宣传，以青少年为重点开展控烟宣传教育，努力减少新增吸烟人口。查处违法向未成年人出售烟草行为。倡导适度适量饮酒和文明饮酒，不劝酒，不酗酒，提高人群的整体认识水平。到2022年和2030年，15岁以上人群吸烟率分别低于24.5%和20%。鼓励成立控烟协会，提供志愿服务。</w:t>
      </w:r>
      <w:r>
        <w:rPr>
          <w:rFonts w:hint="eastAsia"/>
        </w:rP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委宣传部、</w:t>
      </w:r>
      <w:r>
        <w:rPr>
          <w:rFonts w:hint="eastAsia"/>
          <w:lang w:eastAsia="zh-CN"/>
        </w:rPr>
        <w:t>区教体</w:t>
      </w:r>
      <w:r>
        <w:rPr>
          <w:rFonts w:hint="eastAsia"/>
        </w:rPr>
        <w:t>局、市公安局</w:t>
      </w:r>
      <w:r>
        <w:rPr>
          <w:rFonts w:hint="eastAsia"/>
          <w:lang w:eastAsia="zh-CN"/>
        </w:rPr>
        <w:t>汉台分局</w:t>
      </w:r>
      <w:r>
        <w:rPr>
          <w:rFonts w:hint="eastAsia"/>
        </w:rPr>
        <w:t>、</w:t>
      </w:r>
      <w:r>
        <w:rPr>
          <w:rFonts w:hint="eastAsia"/>
          <w:lang w:eastAsia="zh-CN"/>
        </w:rPr>
        <w:t>区</w:t>
      </w:r>
      <w:r>
        <w:rPr>
          <w:rFonts w:hint="eastAsia"/>
        </w:rPr>
        <w:t>司法局、</w:t>
      </w:r>
      <w:r>
        <w:rPr>
          <w:rFonts w:hint="eastAsia"/>
          <w:lang w:eastAsia="zh-CN"/>
        </w:rPr>
        <w:t>区市场监督管理局</w:t>
      </w:r>
      <w:r>
        <w:rPr>
          <w:rFonts w:hint="eastAsia"/>
        </w:rPr>
        <w:t>、</w:t>
      </w:r>
      <w:r>
        <w:rPr>
          <w:rFonts w:hint="eastAsia"/>
          <w:lang w:eastAsia="zh-CN"/>
        </w:rPr>
        <w:t>区</w:t>
      </w:r>
      <w:r>
        <w:rPr>
          <w:rFonts w:hint="eastAsia"/>
        </w:rPr>
        <w:t>政府机关事务服务中心分别负责）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13.开展戒烟服务建设。逐步建立和完善戒烟服务体系，将询问病人吸烟史纳入到日常的门诊问诊中，推广简短戒烟干预服务和烟草依赖疾病诊治。开展戒烟门诊规范化建设。加强对戒烟服务的宣传和推广，使更多吸烟者了解戒烟过程中能获得的帮助。加强专业机构控烟工作，确定专人负责相关工作组织实施，保障经费投入。加强戒烟干预宣传服务能力，构建多途径戒烟服务体系。</w:t>
      </w:r>
      <w:r>
        <w:rPr>
          <w:rFonts w:hint="eastAsia"/>
        </w:rP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委宣传部、</w:t>
      </w:r>
      <w:r>
        <w:rPr>
          <w:rFonts w:hint="eastAsia"/>
          <w:lang w:eastAsia="zh-CN"/>
        </w:rPr>
        <w:t>区教体局</w:t>
      </w:r>
      <w:r>
        <w:rPr>
          <w:rFonts w:hint="eastAsia"/>
        </w:rPr>
        <w:t>、市公安局</w:t>
      </w:r>
      <w:r>
        <w:rPr>
          <w:rFonts w:hint="eastAsia"/>
          <w:lang w:eastAsia="zh-CN"/>
        </w:rPr>
        <w:t>汉台分局</w:t>
      </w:r>
      <w:r>
        <w:rPr>
          <w:rFonts w:hint="eastAsia"/>
        </w:rPr>
        <w:t>、</w:t>
      </w:r>
      <w:r>
        <w:rPr>
          <w:rFonts w:hint="eastAsia"/>
          <w:lang w:eastAsia="zh-CN"/>
        </w:rPr>
        <w:t>区</w:t>
      </w:r>
      <w:r>
        <w:rPr>
          <w:rFonts w:hint="eastAsia"/>
        </w:rPr>
        <w:t>财政局、</w:t>
      </w:r>
      <w:r>
        <w:rPr>
          <w:rFonts w:hint="eastAsia"/>
          <w:lang w:eastAsia="zh-CN"/>
        </w:rPr>
        <w:t>区市场监督管理局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（五）心理健康促进行动。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14.加强心理健康服务。健全心理健康服务网络，依托城</w:t>
      </w:r>
      <w:r>
        <w:rPr>
          <w:rFonts w:hint="eastAsia"/>
          <w:lang w:val="en-US" w:eastAsia="zh-CN"/>
        </w:rPr>
        <w:t>乡</w:t>
      </w:r>
      <w:r>
        <w:t>社区综治中心等综合服务管理机构及设施，建立心理咨询（辅导）室或社会工作室（站），搭建基层心理健康服务平台；整合社会资源，设立未成年人心理健康辅导中心；培育社会化的心理健康服务机构。创新心理健康服务模式，完善社区、教育系统、机关企事业单位和医疗机构的心理健康服务机构及其功能。开展社会心理服务体系试点建设。加大应用型心理健康工作人员培养力度。加强精神卫生医疗机构能力建设，完善人事薪酬分配制度，体现心理治疗服务的劳务价值。加强心理健康专业人才培养和使用的制度建设，积极设立心理健康服务岗位，畅通职业发展渠道。倡导医务人员掌握心理健康知识和技能。加强心理危机干预和心理援助队伍的专业化、系统化建设。利用多形式、多平台，加大心理健康科普宣传力度，针对失眠、抑郁和焦虑等常见精神障碍和心理行为问题，普及实用知识和技能，促进居民心理和行为问题的早期识别、干预和康复。加强重点人群心理健康服务，重点关注未成年人、妇女、老人、计划生育特殊家庭人员和不同职业群体心理健康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建立精神卫生综合管理机制，全面推进严重精神障碍患者社区报告登记和救治救助管理服务，完善患者综合风险评估及分级分类服务管理机制，开展社区康复工作。建立精神卫生医疗机构、社区康复机构、社会组织及家庭相互衔接的精神障碍社区康复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积极开展心理危机干预和心理援助工作。建立和完善心理健康教育、热线服务、评估咨询、精神科治疗等相衔接的心理危机干预和援助服务模式。将心理危机干预和心理援助纳入各类突发事件应急预案和技术方案，相关部门进一步完善为公众提供公益服务的心理援助热线。预期到2022年和2030年，居民心理健康素养水平提升到20%和30%，精神科执业（助理）医师分别为3.3/10万和4.5/10万。</w:t>
      </w:r>
      <w:r>
        <w:rPr>
          <w:rFonts w:hint="eastAsia"/>
        </w:rPr>
        <w:t>（</w:t>
      </w:r>
      <w:r>
        <w:rPr>
          <w:rFonts w:hint="eastAsia"/>
          <w:lang w:eastAsia="zh-CN"/>
        </w:rPr>
        <w:t>区</w:t>
      </w:r>
      <w:r>
        <w:rPr>
          <w:rFonts w:hint="eastAsia"/>
        </w:rPr>
        <w:t>委政法委、</w:t>
      </w:r>
      <w:r>
        <w:rPr>
          <w:rFonts w:hint="eastAsia"/>
          <w:lang w:eastAsia="zh-CN"/>
        </w:rPr>
        <w:t>区卫健局</w:t>
      </w:r>
      <w:r>
        <w:rPr>
          <w:rFonts w:hint="eastAsia"/>
        </w:rPr>
        <w:t>、</w:t>
      </w:r>
      <w:r>
        <w:rPr>
          <w:rFonts w:hint="eastAsia"/>
          <w:lang w:eastAsia="zh-CN"/>
        </w:rPr>
        <w:t>区教体</w:t>
      </w:r>
      <w:r>
        <w:rPr>
          <w:rFonts w:hint="eastAsia"/>
        </w:rPr>
        <w:t>局、市公安局</w:t>
      </w:r>
      <w:r>
        <w:rPr>
          <w:rFonts w:hint="eastAsia"/>
          <w:lang w:eastAsia="zh-CN"/>
        </w:rPr>
        <w:t>汉台分局</w:t>
      </w:r>
      <w:r>
        <w:rPr>
          <w:rFonts w:hint="eastAsia"/>
        </w:rPr>
        <w:t>、</w:t>
      </w:r>
      <w:r>
        <w:rPr>
          <w:rFonts w:hint="eastAsia"/>
          <w:lang w:eastAsia="zh-CN"/>
        </w:rPr>
        <w:t>区</w:t>
      </w:r>
      <w:r>
        <w:rPr>
          <w:rFonts w:hint="eastAsia"/>
        </w:rPr>
        <w:t>民政局、</w:t>
      </w:r>
      <w:r>
        <w:rPr>
          <w:rFonts w:hint="eastAsia"/>
          <w:lang w:eastAsia="zh-CN"/>
        </w:rPr>
        <w:t>区</w:t>
      </w:r>
      <w:r>
        <w:rPr>
          <w:rFonts w:hint="eastAsia"/>
        </w:rPr>
        <w:t>司法局、</w:t>
      </w:r>
      <w:r>
        <w:rPr>
          <w:rFonts w:hint="eastAsia"/>
          <w:lang w:eastAsia="zh-CN"/>
        </w:rPr>
        <w:t>区</w:t>
      </w:r>
      <w:r>
        <w:rPr>
          <w:rFonts w:hint="eastAsia"/>
        </w:rPr>
        <w:t>人社局、</w:t>
      </w:r>
      <w:r>
        <w:rPr>
          <w:rFonts w:hint="eastAsia"/>
          <w:lang w:eastAsia="zh-CN"/>
        </w:rPr>
        <w:t>区</w:t>
      </w:r>
      <w:r>
        <w:rPr>
          <w:rFonts w:hint="eastAsia"/>
        </w:rPr>
        <w:t>科协、</w:t>
      </w:r>
      <w:r>
        <w:rPr>
          <w:rFonts w:hint="eastAsia"/>
          <w:lang w:eastAsia="zh-CN"/>
        </w:rPr>
        <w:t>区</w:t>
      </w:r>
      <w:r>
        <w:rPr>
          <w:rFonts w:hint="eastAsia"/>
        </w:rPr>
        <w:t>残联分别负责）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（六）健康环境促进行动。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15.深入开展大气、水、土壤污染防治。开展公民环境与健康素养提升和科普宣传工作。以提高环境质量为核心，实行环境质量目标考核，实施最严格的环境保护制度。整体谋划新时代国土空间开发保护格局，综合考虑人口分布、经济分布、国土利用、生态环境保护等因素，科学布局生产空间、生活空间、生态空间。强化源头预防，切实解决影响广大人民群众健康的突出环境问题。深入实施大气污染防治，强化区域大气污染联防联控，加快产业结构转型升级，统筹推进工业源、移动源、城市面源污染治理，加强城</w:t>
      </w:r>
      <w:r>
        <w:rPr>
          <w:rFonts w:hint="eastAsia"/>
          <w:lang w:val="en-US" w:eastAsia="zh-CN"/>
        </w:rPr>
        <w:t>乡</w:t>
      </w:r>
      <w:r>
        <w:t>生产生活废弃物和农作物秸秆等生物质处置管理，加快城市及周边造林绿化建设，大力发展清洁能源和绿色建筑，推进城市空气质量持续改善。加强河流水体管理安全保障，深入开展城市建成区黑臭水体排查整治，推进地下水污染综合防治。加大水源地保护力度，加强集中式饮用水源地建设和管理，加大饮水工程设施投入、管理和维护，加大二次供水监管，保障城</w:t>
      </w:r>
      <w:r>
        <w:rPr>
          <w:rFonts w:hint="eastAsia"/>
          <w:lang w:val="en-US" w:eastAsia="zh-CN"/>
        </w:rPr>
        <w:t>乡</w:t>
      </w:r>
      <w:r>
        <w:t>居民饮用水安全。全面实施土壤污染治理，加强土壤环境现状详查工作，推进重金属、固体废物、农业面源等污染防治和环境监管，防范污染地块社会环境风险，有效保护生态系统。到2022年和2030年，居民环境与健康素养水平分别提升至15%及以上和25%及以上，居民饮用水水质明显改善并持续改善。</w:t>
      </w:r>
      <w:r>
        <w:rPr>
          <w:rFonts w:hint="eastAsia"/>
        </w:rPr>
        <w:t>（市生态环境局</w:t>
      </w:r>
      <w:r>
        <w:rPr>
          <w:rFonts w:hint="eastAsia"/>
          <w:lang w:eastAsia="zh-CN"/>
        </w:rPr>
        <w:t>汉台分局</w:t>
      </w:r>
      <w:r>
        <w:rPr>
          <w:rFonts w:hint="eastAsia"/>
        </w:rPr>
        <w:t>牵头，</w:t>
      </w:r>
      <w:r>
        <w:rPr>
          <w:rFonts w:hint="eastAsia"/>
          <w:lang w:eastAsia="zh-CN"/>
        </w:rPr>
        <w:t>区</w:t>
      </w:r>
      <w:r>
        <w:rPr>
          <w:rFonts w:hint="eastAsia"/>
        </w:rPr>
        <w:t>农业农村局、</w:t>
      </w:r>
      <w:r>
        <w:rPr>
          <w:rFonts w:hint="eastAsia"/>
          <w:lang w:eastAsia="zh-CN"/>
        </w:rPr>
        <w:t>区</w:t>
      </w:r>
      <w:r>
        <w:rPr>
          <w:rFonts w:hint="eastAsia"/>
        </w:rPr>
        <w:t>住建局、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水利局、</w:t>
      </w:r>
      <w:r>
        <w:rPr>
          <w:rFonts w:hint="eastAsia"/>
          <w:lang w:eastAsia="zh-CN"/>
        </w:rPr>
        <w:t>市</w:t>
      </w:r>
      <w:r>
        <w:rPr>
          <w:rFonts w:hint="eastAsia"/>
        </w:rPr>
        <w:t>公安局</w:t>
      </w:r>
      <w:r>
        <w:rPr>
          <w:rFonts w:hint="eastAsia"/>
          <w:lang w:eastAsia="zh-CN"/>
        </w:rPr>
        <w:t>汉台分局</w:t>
      </w:r>
      <w:r>
        <w:rPr>
          <w:rFonts w:hint="eastAsia"/>
        </w:rPr>
        <w:t>、</w:t>
      </w:r>
      <w:r>
        <w:rPr>
          <w:rFonts w:hint="eastAsia"/>
          <w:lang w:eastAsia="zh-CN"/>
        </w:rPr>
        <w:t>区市场监督管理局</w:t>
      </w:r>
      <w:r>
        <w:rPr>
          <w:rFonts w:hint="eastAsia"/>
        </w:rPr>
        <w:t>、</w:t>
      </w:r>
      <w:r>
        <w:rPr>
          <w:rFonts w:hint="eastAsia"/>
          <w:lang w:eastAsia="zh-CN"/>
        </w:rPr>
        <w:t>市</w:t>
      </w:r>
      <w:r>
        <w:rPr>
          <w:rFonts w:hint="eastAsia"/>
        </w:rPr>
        <w:t>自然资源局</w:t>
      </w:r>
      <w:r>
        <w:rPr>
          <w:rFonts w:hint="eastAsia"/>
          <w:lang w:eastAsia="zh-CN"/>
        </w:rPr>
        <w:t>汉台分局</w:t>
      </w:r>
      <w:r>
        <w:rPr>
          <w:rFonts w:hint="eastAsia"/>
        </w:rPr>
        <w:t>、</w:t>
      </w:r>
      <w:r>
        <w:rPr>
          <w:rFonts w:hint="eastAsia"/>
          <w:lang w:eastAsia="zh-CN"/>
        </w:rPr>
        <w:t>区</w:t>
      </w:r>
      <w:r>
        <w:rPr>
          <w:rFonts w:hint="eastAsia"/>
        </w:rPr>
        <w:t>发改</w:t>
      </w:r>
      <w:r>
        <w:rPr>
          <w:rFonts w:hint="eastAsia"/>
          <w:lang w:eastAsia="zh-CN"/>
        </w:rPr>
        <w:t>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16.深化爱国卫生运动。围绕“乡村振兴”战略，巩固提升国家卫生城镇创建成果，建立城</w:t>
      </w:r>
      <w:r>
        <w:rPr>
          <w:rFonts w:hint="eastAsia"/>
          <w:lang w:val="en-US" w:eastAsia="zh-CN"/>
        </w:rPr>
        <w:t>乡</w:t>
      </w:r>
      <w:r>
        <w:t>环境卫生治理长效机制，统筹治理城</w:t>
      </w:r>
      <w:r>
        <w:rPr>
          <w:rFonts w:hint="eastAsia"/>
          <w:lang w:val="en-US" w:eastAsia="zh-CN"/>
        </w:rPr>
        <w:t>乡</w:t>
      </w:r>
      <w:r>
        <w:t>环境卫生问题。加大农村人居环境治理力度，采取政府倡导、政策激励、规范标准、城</w:t>
      </w:r>
      <w:r>
        <w:rPr>
          <w:rFonts w:hint="eastAsia"/>
          <w:lang w:val="en-US" w:eastAsia="zh-CN"/>
        </w:rPr>
        <w:t>乡</w:t>
      </w:r>
      <w:r>
        <w:t>联动等方式，全面加强农村垃圾治理，实施农村生活污水治理，大力推广清洁能源，推动城市环卫基础设施向村延伸，持续改善城</w:t>
      </w:r>
      <w:r>
        <w:rPr>
          <w:rFonts w:hint="eastAsia"/>
          <w:lang w:val="en-US" w:eastAsia="zh-CN"/>
        </w:rPr>
        <w:t>乡</w:t>
      </w:r>
      <w:r>
        <w:t>人居环境。实施农村饮水安全巩固提升工程和城</w:t>
      </w:r>
      <w:r>
        <w:rPr>
          <w:rFonts w:hint="eastAsia"/>
          <w:lang w:val="en-US" w:eastAsia="zh-CN"/>
        </w:rPr>
        <w:t>乡</w:t>
      </w:r>
      <w:r>
        <w:t>供水工程，提升</w:t>
      </w:r>
      <w:r>
        <w:rPr>
          <w:rFonts w:hint="eastAsia"/>
          <w:lang w:val="en-US" w:eastAsia="zh-CN"/>
        </w:rPr>
        <w:t>城乡</w:t>
      </w:r>
      <w:r>
        <w:t>居民饮水保障能力。加快无害化卫生厕所建设，实施以环境治理为主的病媒生物综合预防控制策略。积极引导卫生城镇向健康城镇发展，打造卫生城镇升级版，把健康政策融入规划、建设、治理的全过程，保障与健康相关的公共设施用地需求，促进城</w:t>
      </w:r>
      <w:r>
        <w:rPr>
          <w:rFonts w:hint="eastAsia"/>
          <w:lang w:val="en-US" w:eastAsia="zh-CN"/>
        </w:rPr>
        <w:t>乡</w:t>
      </w:r>
      <w:r>
        <w:t>与人民健康协调发展。针对居民主要健康问题，编制实施健康城市、健康村镇发展规划，分阶段、分步骤完成工作目标。加强健康城市、健康村镇建设监测与评价。</w:t>
      </w:r>
      <w:r>
        <w:rPr>
          <w:rFonts w:hint="eastAsia"/>
        </w:rPr>
        <w:t>（</w:t>
      </w:r>
      <w:r>
        <w:rPr>
          <w:rFonts w:hint="eastAsia"/>
          <w:lang w:eastAsia="zh-CN"/>
        </w:rPr>
        <w:t>区</w:t>
      </w:r>
      <w:r>
        <w:rPr>
          <w:rFonts w:hint="eastAsia"/>
        </w:rPr>
        <w:t>卫健</w:t>
      </w:r>
      <w:r>
        <w:rPr>
          <w:rFonts w:hint="eastAsia"/>
          <w:lang w:eastAsia="zh-CN"/>
        </w:rPr>
        <w:t>局</w:t>
      </w:r>
      <w:r>
        <w:rPr>
          <w:rFonts w:hint="eastAsia"/>
        </w:rPr>
        <w:t>牵头，市生态环境局</w:t>
      </w:r>
      <w:r>
        <w:rPr>
          <w:rFonts w:hint="eastAsia"/>
          <w:lang w:eastAsia="zh-CN"/>
        </w:rPr>
        <w:t>汉台分局</w:t>
      </w:r>
      <w:r>
        <w:rPr>
          <w:rFonts w:hint="eastAsia"/>
        </w:rPr>
        <w:t>、</w:t>
      </w:r>
      <w:r>
        <w:rPr>
          <w:rFonts w:hint="eastAsia"/>
          <w:lang w:eastAsia="zh-CN"/>
        </w:rPr>
        <w:t>区</w:t>
      </w:r>
      <w:r>
        <w:rPr>
          <w:rFonts w:hint="eastAsia"/>
        </w:rPr>
        <w:t>农业农村局、</w:t>
      </w:r>
      <w:r>
        <w:rPr>
          <w:rFonts w:hint="eastAsia"/>
          <w:lang w:eastAsia="zh-CN"/>
        </w:rPr>
        <w:t>区</w:t>
      </w:r>
      <w:r>
        <w:rPr>
          <w:rFonts w:hint="eastAsia"/>
        </w:rPr>
        <w:t>住建局、</w:t>
      </w:r>
      <w:r>
        <w:rPr>
          <w:rFonts w:hint="eastAsia"/>
          <w:lang w:eastAsia="zh-CN"/>
        </w:rPr>
        <w:t>区</w:t>
      </w:r>
      <w:r>
        <w:rPr>
          <w:rFonts w:hint="eastAsia"/>
        </w:rPr>
        <w:t>水利局、市公安局</w:t>
      </w:r>
      <w:r>
        <w:rPr>
          <w:rFonts w:hint="eastAsia"/>
          <w:lang w:eastAsia="zh-CN"/>
        </w:rPr>
        <w:t>汉台分局</w:t>
      </w:r>
      <w:r>
        <w:rPr>
          <w:rFonts w:hint="eastAsia"/>
        </w:rPr>
        <w:t>、</w:t>
      </w:r>
      <w:r>
        <w:rPr>
          <w:rFonts w:hint="eastAsia"/>
          <w:lang w:eastAsia="zh-CN"/>
        </w:rPr>
        <w:t>区市场监督管理局</w:t>
      </w:r>
      <w:r>
        <w:rPr>
          <w:rFonts w:hint="eastAsia"/>
        </w:rPr>
        <w:t>、市自然资源局</w:t>
      </w:r>
      <w:r>
        <w:rPr>
          <w:rFonts w:hint="eastAsia"/>
          <w:lang w:eastAsia="zh-CN"/>
        </w:rPr>
        <w:t>汉台分局</w:t>
      </w:r>
      <w:r>
        <w:rPr>
          <w:rFonts w:hint="eastAsia"/>
        </w:rPr>
        <w:t>、</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创建办分别负责）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17.推进垃圾综合治理和绿化环境建设。积极实施城市生活垃圾分类，重点完善和提升城</w:t>
      </w:r>
      <w:r>
        <w:rPr>
          <w:rFonts w:hint="eastAsia"/>
          <w:lang w:val="en-US" w:eastAsia="zh-CN"/>
        </w:rPr>
        <w:t>乡</w:t>
      </w:r>
      <w:r>
        <w:t>环卫设施设备，加快就近就地型厨余垃圾（湿垃圾）处理站和可回收物点、场、站建设，实现就近就地资源化利用。实施工业污染源排污许可管理和全面达标排放计划，加快淘汰敏感区域周边的有色金属冶炼、采选矿等行业，加快淘汰高污染、高环境风险的工艺、设备和产品，推进钢铁、水泥、石化等重点企业达标排放改造。加强湿地自然保护区及湿地公园建设，保护和改善珍稀濒危野生动植物栖息地，开展自然保护区生物多样性监测及建立自然保护区监测数据库。加强城市空间设计，优化城市绿地布局，强化城市园林绿化建设，加快老旧公园改造，建设绿道绿廊，开展城市周边、城市各板块之间绿化带建设，加强城市防护林建设和湿地保护与恢复，形成城市、绿地、水系的完整生态网络。</w:t>
      </w:r>
      <w:r>
        <w:rPr>
          <w:rFonts w:hint="eastAsia"/>
        </w:rPr>
        <w:t>（</w:t>
      </w:r>
      <w:r>
        <w:rPr>
          <w:rFonts w:hint="eastAsia"/>
          <w:lang w:eastAsia="zh-CN"/>
        </w:rPr>
        <w:t>区</w:t>
      </w:r>
      <w:r>
        <w:rPr>
          <w:rFonts w:hint="eastAsia"/>
        </w:rPr>
        <w:t>住建局、市生态环境局</w:t>
      </w:r>
      <w:r>
        <w:rPr>
          <w:rFonts w:hint="eastAsia"/>
          <w:lang w:eastAsia="zh-CN"/>
        </w:rPr>
        <w:t>汉台分局</w:t>
      </w:r>
      <w:r>
        <w:rPr>
          <w:rFonts w:hint="eastAsia"/>
        </w:rPr>
        <w:t>、</w:t>
      </w:r>
      <w:r>
        <w:rPr>
          <w:rFonts w:hint="eastAsia"/>
          <w:lang w:eastAsia="zh-CN"/>
        </w:rPr>
        <w:t>区</w:t>
      </w:r>
      <w:r>
        <w:rPr>
          <w:rFonts w:hint="eastAsia"/>
        </w:rPr>
        <w:t>城管局、</w:t>
      </w:r>
      <w:r>
        <w:rPr>
          <w:rFonts w:hint="eastAsia"/>
          <w:lang w:eastAsia="zh-CN"/>
        </w:rPr>
        <w:t>区经贸局</w:t>
      </w:r>
      <w:r>
        <w:rPr>
          <w:rFonts w:hint="eastAsia"/>
        </w:rPr>
        <w:t>、</w:t>
      </w:r>
      <w:r>
        <w:rPr>
          <w:rFonts w:hint="eastAsia"/>
          <w:lang w:eastAsia="zh-CN"/>
        </w:rPr>
        <w:t>区</w:t>
      </w:r>
      <w:r>
        <w:rPr>
          <w:rFonts w:hint="eastAsia"/>
        </w:rPr>
        <w:t>商务局、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水利局、</w:t>
      </w:r>
      <w:r>
        <w:rPr>
          <w:rFonts w:hint="eastAsia"/>
          <w:lang w:eastAsia="zh-CN"/>
        </w:rPr>
        <w:t>区</w:t>
      </w:r>
      <w:r>
        <w:rPr>
          <w:rFonts w:hint="eastAsia"/>
        </w:rPr>
        <w:t>林业局、市公安局</w:t>
      </w:r>
      <w:r>
        <w:rPr>
          <w:rFonts w:hint="eastAsia"/>
          <w:lang w:eastAsia="zh-CN"/>
        </w:rPr>
        <w:t>汉台分局</w:t>
      </w:r>
      <w:r>
        <w:rPr>
          <w:rFonts w:hint="eastAsia"/>
        </w:rPr>
        <w:t>、</w:t>
      </w:r>
      <w:r>
        <w:rPr>
          <w:rFonts w:hint="eastAsia"/>
          <w:lang w:eastAsia="zh-CN"/>
        </w:rPr>
        <w:t>区市场监督管理局</w:t>
      </w:r>
      <w:r>
        <w:rPr>
          <w:rFonts w:hint="eastAsia"/>
        </w:rPr>
        <w:t>、市自然资源局</w:t>
      </w:r>
      <w:r>
        <w:rPr>
          <w:rFonts w:hint="eastAsia"/>
          <w:lang w:eastAsia="zh-CN"/>
        </w:rPr>
        <w:t>汉台分局</w:t>
      </w:r>
      <w:r>
        <w:rPr>
          <w:rFonts w:hint="eastAsia"/>
        </w:rPr>
        <w:t>、</w:t>
      </w:r>
      <w:r>
        <w:rPr>
          <w:rFonts w:hint="eastAsia"/>
          <w:lang w:eastAsia="zh-CN"/>
        </w:rPr>
        <w:t>区</w:t>
      </w:r>
      <w:r>
        <w:rPr>
          <w:rFonts w:hint="eastAsia"/>
        </w:rPr>
        <w:t>发改</w:t>
      </w:r>
      <w:r>
        <w:rPr>
          <w:rFonts w:hint="eastAsia"/>
          <w:lang w:eastAsia="zh-CN"/>
        </w:rPr>
        <w:t>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18.开展环境与健康监测评估。建立健全环境与健康监测、调查和风险评估制度，实现饮用水、空气、土壤等环境与健康影响监测评估工作常态化。开展环境污染与疾病关系、健康风险预警及防护干预等研究。深入开展城</w:t>
      </w:r>
      <w:r>
        <w:rPr>
          <w:rFonts w:hint="eastAsia"/>
          <w:lang w:val="en-US" w:eastAsia="zh-CN"/>
        </w:rPr>
        <w:t>乡</w:t>
      </w:r>
      <w:r>
        <w:t>饮用水卫生监测，查找饮水安全隐患。指导公众健康饮水和健康用水，倡导不喝生水。加强公共场所健康危害因素监测和卫生监管力度，健全消毒制度，完善消毒设施，定期清洗集中空调通风系统。持续开展空气污染（雾霾）对人群健康影响监测工作，做好雾霾天气下人群健康防护指导工作，重点关注心肺病患者、老年人、儿童、孕妇及户外作业人员等特殊人群。</w:t>
      </w:r>
      <w:r>
        <w:rPr>
          <w:rFonts w:hint="eastAsia"/>
        </w:rPr>
        <w:t>（</w:t>
      </w:r>
      <w:r>
        <w:rPr>
          <w:rFonts w:hint="eastAsia"/>
          <w:lang w:eastAsia="zh-CN"/>
        </w:rPr>
        <w:t>区</w:t>
      </w:r>
      <w:r>
        <w:rPr>
          <w:rFonts w:hint="eastAsia"/>
        </w:rPr>
        <w:t>卫健</w:t>
      </w:r>
      <w:r>
        <w:rPr>
          <w:rFonts w:hint="eastAsia"/>
          <w:lang w:eastAsia="zh-CN"/>
        </w:rPr>
        <w:t>局</w:t>
      </w:r>
      <w:r>
        <w:rPr>
          <w:rFonts w:hint="eastAsia"/>
        </w:rPr>
        <w:t>牵头，市生态环境局</w:t>
      </w:r>
      <w:r>
        <w:rPr>
          <w:rFonts w:hint="eastAsia"/>
          <w:lang w:eastAsia="zh-CN"/>
        </w:rPr>
        <w:t>汉台分局</w:t>
      </w:r>
      <w:r>
        <w:rPr>
          <w:rFonts w:hint="eastAsia"/>
        </w:rPr>
        <w:t>、</w:t>
      </w:r>
      <w:r>
        <w:rPr>
          <w:rFonts w:hint="eastAsia"/>
          <w:lang w:eastAsia="zh-CN"/>
        </w:rPr>
        <w:t>区</w:t>
      </w:r>
      <w:r>
        <w:rPr>
          <w:rFonts w:hint="eastAsia"/>
        </w:rPr>
        <w:t>住建局、</w:t>
      </w:r>
      <w:r>
        <w:rPr>
          <w:rFonts w:hint="eastAsia"/>
          <w:lang w:eastAsia="zh-CN"/>
        </w:rPr>
        <w:t>区</w:t>
      </w:r>
      <w:r>
        <w:rPr>
          <w:rFonts w:hint="eastAsia"/>
        </w:rPr>
        <w:t>水利局、市公安局</w:t>
      </w:r>
      <w:r>
        <w:rPr>
          <w:rFonts w:hint="eastAsia"/>
          <w:lang w:eastAsia="zh-CN"/>
        </w:rPr>
        <w:t>汉台分局</w:t>
      </w:r>
      <w:r>
        <w:rPr>
          <w:rFonts w:hint="eastAsia"/>
        </w:rPr>
        <w:t>、</w:t>
      </w:r>
      <w:r>
        <w:rPr>
          <w:rFonts w:hint="eastAsia"/>
          <w:lang w:eastAsia="zh-CN"/>
        </w:rPr>
        <w:t>区市场监督管理局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19.促进道路交通安全。实施交通安全生命防护工程，加强交通安全隐患治理，提升道路交通安全水平。完善慢行交通设施，将其纳入国土空间规划中，保障慢行交通通行空间和通行安全。完善交通无障碍设施建设，保障老年人、残疾人出行便利。严格道路运输企业安全管理，落实道路运输企业主体责任。培养道路交通安全文明意识，倡导文明交通行为。正确使用安全带，根据儿童年龄、身高和体重合理使用安全座椅，倡导电动自行车使用者佩戴头盔，减少交通事故的发生。</w:t>
      </w:r>
      <w:r>
        <w:rPr>
          <w:rFonts w:hint="eastAsia"/>
        </w:rPr>
        <w:t>（市公安局</w:t>
      </w:r>
      <w:r>
        <w:rPr>
          <w:rFonts w:hint="eastAsia"/>
          <w:lang w:eastAsia="zh-CN"/>
        </w:rPr>
        <w:t>汉台分局</w:t>
      </w:r>
      <w:r>
        <w:rPr>
          <w:rFonts w:hint="eastAsia"/>
        </w:rPr>
        <w:t>、</w:t>
      </w:r>
      <w:r>
        <w:rPr>
          <w:rFonts w:hint="eastAsia"/>
          <w:lang w:eastAsia="zh-CN"/>
        </w:rPr>
        <w:t>区</w:t>
      </w:r>
      <w:r>
        <w:rPr>
          <w:rFonts w:hint="eastAsia"/>
        </w:rPr>
        <w:t>交通运输局、</w:t>
      </w:r>
      <w:r>
        <w:rPr>
          <w:rFonts w:hint="eastAsia"/>
          <w:lang w:eastAsia="zh-CN"/>
        </w:rPr>
        <w:t>区</w:t>
      </w:r>
      <w:r>
        <w:rPr>
          <w:rFonts w:hint="eastAsia"/>
        </w:rPr>
        <w:t>住建局、市自然资源局</w:t>
      </w:r>
      <w:r>
        <w:rPr>
          <w:rFonts w:hint="eastAsia"/>
          <w:lang w:eastAsia="zh-CN"/>
        </w:rPr>
        <w:t>汉台分局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20.维护室（车）内环境健康安全。加强装饰装修材料、日用化学品、儿童玩具和用品等消费品的安全性评价，聚焦重点消费品，完善产品伤害监测体系。加强消费品绿色安全认证，建立消费品质量安全事故的强制报告制度，加强召回管理力度，强化重点领域质量安全监管，减少消费品造成的伤害。倡导居民购买带有绿色标志的装饰装修材料、家具和带有节能标识的家电产品。倡导居民住房装修简单化，对于新装修的房间应增加通风换气频率，降低装饰装修材料造成的室内空气污染。倡导居民定期清洗或更换家用空调机滤网、饮水机滤芯、空气净化器滤网，定期检查维护壁挂锅炉、燃气灶及油烟机。鼓励居民根据实际需要，选购适宜排量的汽车，不进行非必要的车内装饰，注意通风并及时清洗车用空调系统。</w:t>
      </w:r>
      <w:r>
        <w:rPr>
          <w:rFonts w:hint="eastAsia"/>
        </w:rPr>
        <w:t>（</w:t>
      </w:r>
      <w:r>
        <w:rPr>
          <w:rFonts w:hint="eastAsia"/>
          <w:lang w:eastAsia="zh-CN"/>
        </w:rPr>
        <w:t>区市场监督管理局</w:t>
      </w:r>
      <w:r>
        <w:rPr>
          <w:rFonts w:hint="eastAsia"/>
        </w:rPr>
        <w:t>牵头，</w:t>
      </w:r>
      <w:r>
        <w:rPr>
          <w:rFonts w:hint="eastAsia"/>
          <w:lang w:eastAsia="zh-CN"/>
        </w:rPr>
        <w:t>区经贸</w:t>
      </w:r>
      <w:r>
        <w:rPr>
          <w:rFonts w:hint="eastAsia"/>
        </w:rPr>
        <w:t>局、</w:t>
      </w:r>
      <w:r>
        <w:rPr>
          <w:rFonts w:hint="eastAsia"/>
          <w:lang w:eastAsia="zh-CN"/>
        </w:rPr>
        <w:t>区</w:t>
      </w:r>
      <w:r>
        <w:rPr>
          <w:rFonts w:hint="eastAsia"/>
        </w:rPr>
        <w:t>住建局分别负责）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（七）中医药健康促进行动。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21.提升中医药服务能力。健全和完善中医药服务体系，加强基层中医医疗机构及中医馆建设。到2022年，镇</w:t>
      </w:r>
      <w:r>
        <w:rPr>
          <w:rFonts w:hint="eastAsia"/>
          <w:lang w:val="en-US" w:eastAsia="zh-CN"/>
        </w:rPr>
        <w:t>中心</w:t>
      </w:r>
      <w:r>
        <w:t>卫生院中医馆全覆盖。大力推广中医药适宜技术和非药物疗法，提升基层中医药服务能力，到2022年，</w:t>
      </w:r>
      <w:r>
        <w:rPr>
          <w:rFonts w:hint="eastAsia"/>
          <w:lang w:val="en-US" w:eastAsia="zh-CN"/>
        </w:rPr>
        <w:t>镇中心</w:t>
      </w:r>
      <w:r>
        <w:t>卫生院、社区卫生服务中心提供中医非药物疗法比例达到100%。到2022年和2030年，三级中医医院设置康复科比例分别达85%、90%，村卫生室提供中医非药物疗法的比例分别达到70%、80%。建立和完善有利于中医药发展的政策制度，推动优化符合中医药服务特点的医保支付方式，促进中医药在分级诊疗、签约服务等方面发挥优势作用。到2030年，全面建成覆盖城</w:t>
      </w:r>
      <w:r>
        <w:rPr>
          <w:rFonts w:hint="eastAsia"/>
          <w:lang w:val="en-US" w:eastAsia="zh-CN"/>
        </w:rPr>
        <w:t>乡</w:t>
      </w:r>
      <w:r>
        <w:t>、分工明确、功能互补、密切协作的中医药医疗服务网络。</w:t>
      </w:r>
      <w:r>
        <w:rPr>
          <w:rFonts w:hint="eastAsia"/>
        </w:rP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医保局、</w:t>
      </w:r>
      <w:r>
        <w:rPr>
          <w:rFonts w:hint="eastAsia"/>
          <w:lang w:eastAsia="zh-CN"/>
        </w:rPr>
        <w:t>区</w:t>
      </w:r>
      <w:r>
        <w:rPr>
          <w:rFonts w:hint="eastAsia"/>
        </w:rPr>
        <w:t>财政局、</w:t>
      </w:r>
      <w:r>
        <w:rPr>
          <w:rFonts w:hint="eastAsia"/>
          <w:lang w:eastAsia="zh-CN"/>
        </w:rPr>
        <w:t>区市场监督管理局</w:t>
      </w:r>
      <w:r>
        <w:rPr>
          <w:rFonts w:hint="eastAsia"/>
        </w:rPr>
        <w:t>、</w:t>
      </w:r>
      <w:r>
        <w:rPr>
          <w:rFonts w:hint="eastAsia"/>
          <w:lang w:eastAsia="zh-CN"/>
        </w:rPr>
        <w:t>区</w:t>
      </w:r>
      <w:r>
        <w:rPr>
          <w:rFonts w:hint="eastAsia"/>
        </w:rPr>
        <w:t>医保局分别负责）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22.拓展中医治未病服务。发挥中医药治未病养生保健优势，探索将健康文化、健康管理、健康保险融为一体的中医健康保障模式。到2022年，二级以上中医医院全部设立治未病科（中心）。鼓励中医门诊部和基层医疗卫生机构开展治未病服务，鼓励社会力量规范举办提供中医体质辨识、经络按摩、传统运动、情志调摄、中药保健等服务的中医养生保健机构。提升基本公共卫生服务中的中医药健康管理人群覆盖率，拓展中医药在慢性病防治、孕产妇保健等方面的作用发挥。推广中医治未病理念，推进中医药科普知识进社区、进乡村、进学校、进家庭等活动，传播中医药文化、中医养生保健技术和方法，提升基本中医药健康知识的普及率。</w:t>
      </w:r>
      <w:r>
        <w:rPr>
          <w:rFonts w:hint="eastAsia"/>
        </w:rP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区发改局</w:t>
      </w:r>
      <w:r>
        <w:rPr>
          <w:rFonts w:hint="eastAsia"/>
        </w:rPr>
        <w:t>、</w:t>
      </w:r>
      <w:r>
        <w:rPr>
          <w:rFonts w:hint="eastAsia"/>
          <w:lang w:eastAsia="zh-CN"/>
        </w:rPr>
        <w:t>区</w:t>
      </w:r>
      <w:r>
        <w:rPr>
          <w:rFonts w:hint="eastAsia"/>
        </w:rPr>
        <w:t>民政局、</w:t>
      </w:r>
      <w:r>
        <w:rPr>
          <w:rFonts w:hint="eastAsia"/>
          <w:lang w:eastAsia="zh-CN"/>
        </w:rPr>
        <w:t>区教体</w:t>
      </w:r>
      <w:r>
        <w:rPr>
          <w:rFonts w:hint="eastAsia"/>
        </w:rPr>
        <w:t>局分别负责）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23.深化中医药传承创新。实施中医药传承创新工程。评选一批</w:t>
      </w:r>
      <w:r>
        <w:rPr>
          <w:rFonts w:hint="eastAsia"/>
          <w:lang w:eastAsia="zh-CN"/>
        </w:rPr>
        <w:t>区</w:t>
      </w:r>
      <w:r>
        <w:t>级名中医，建设一批名中医工作室，开展名（老）中医药专家师带徒工作，传承名（老）中医诊疗经验，做好确有专长人员考核工作。开展重大疾病、传染病等疾病中西医临床协同攻关，形成和推广疗效显著的防治方案。到2022年，打造一支适应中医药高质量发展需要的人才队伍。到2030年，中医药传承创新能力显著提升。</w:t>
      </w:r>
      <w:r>
        <w:rPr>
          <w:rFonts w:hint="eastAsia"/>
        </w:rP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医保局、</w:t>
      </w:r>
      <w:r>
        <w:rPr>
          <w:rFonts w:hint="eastAsia"/>
          <w:lang w:eastAsia="zh-CN"/>
        </w:rPr>
        <w:t>区发改局</w:t>
      </w:r>
      <w:r>
        <w:rPr>
          <w:rFonts w:hint="eastAsia"/>
        </w:rPr>
        <w:t>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（八）妇幼健康促进行动。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24.实施妇幼健康服务保障工程。倡导育龄人群主动学习掌握出生缺陷防治和儿童早期发展知识，主动接受婚前医学检查和孕前优生健康检查。实施婚姻登记与婚育健康教育“一站式”服务。引导群众负责任、有计划、按政策生育，倡导优生优育。推进妇幼保健机构基础设施建设及人员培训，提升危重孕产妇、新生儿转诊救治服务能力，保障母婴安全。加强出生缺陷预防干预，聚焦严重多发、可筛可治、技术成熟、预后良好、费用可控的出生缺陷重点病种，实施免费产前筛查和新生儿疾病筛查服务制度，完善筛查诊断服务网络，推进儿童脑瘫早期筛查、转诊和康复体系建设。倡导0-6个月婴儿纯母乳喂养，为6个月以上婴儿适时合理添加辅食。加强儿童早期教育和托幼机构建设，加强托幼机构卫生保健业务指导，推进儿童早期发展服务，扩大儿童营养改善项目。完善妇女病普查普治和更（老）年期保健服务，推进妇女健康促进项目。</w:t>
      </w:r>
      <w:r>
        <w:rPr>
          <w:rFonts w:hint="eastAsia"/>
        </w:rP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财政局、</w:t>
      </w:r>
      <w:r>
        <w:rPr>
          <w:rFonts w:hint="eastAsia"/>
          <w:lang w:eastAsia="zh-CN"/>
        </w:rPr>
        <w:t>区</w:t>
      </w:r>
      <w:r>
        <w:rPr>
          <w:rFonts w:hint="eastAsia"/>
        </w:rPr>
        <w:t>教</w:t>
      </w:r>
      <w:r>
        <w:rPr>
          <w:rFonts w:hint="eastAsia"/>
          <w:lang w:eastAsia="zh-CN"/>
        </w:rPr>
        <w:t>体</w:t>
      </w:r>
      <w:r>
        <w:rPr>
          <w:rFonts w:hint="eastAsia"/>
        </w:rPr>
        <w:t>局、</w:t>
      </w:r>
      <w:r>
        <w:rPr>
          <w:rFonts w:hint="eastAsia"/>
          <w:lang w:eastAsia="zh-CN"/>
        </w:rPr>
        <w:t>区</w:t>
      </w:r>
      <w:r>
        <w:rPr>
          <w:rFonts w:hint="eastAsia"/>
        </w:rPr>
        <w:t>妇联、</w:t>
      </w:r>
      <w:r>
        <w:rPr>
          <w:rFonts w:hint="eastAsia"/>
          <w:lang w:eastAsia="zh-CN"/>
        </w:rPr>
        <w:t>区</w:t>
      </w:r>
      <w:r>
        <w:rPr>
          <w:rFonts w:hint="eastAsia"/>
        </w:rPr>
        <w:t>民政局、</w:t>
      </w:r>
      <w:r>
        <w:rPr>
          <w:rFonts w:hint="eastAsia"/>
          <w:lang w:eastAsia="zh-CN"/>
        </w:rPr>
        <w:t>区</w:t>
      </w:r>
      <w:r>
        <w:rPr>
          <w:rFonts w:hint="eastAsia"/>
        </w:rPr>
        <w:t>残联分别负责）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（九）青少年健康促进行动。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25.提升青少年身心健康水平。加强大中小学校卫生保健机构建设，按照标准和要求强化人员和设备配备，寄宿制中小学校或600名学生以上的非寄宿制中小学校配备专职卫生专业技术人员、600名学生以下的非寄宿制中小学校配备专兼职保健教师或卫生专业技术人员的比例，配备专兼职心理健康工作人员的中小学校比例符合要求。制定健康学校标准，加快健康学校示范建设。深化学校体育、健康教育教学改革，大中小学校普遍开设体育与健康教育课程，课程开课率达100%，中小学生每天校内体育活动时间至少1小时。完善学校健康体检制度和学生体质健康监测制度。建立健全学生常见病监测和传染病预警网络，严格落实传染病防控措施。完善学校饮水安全保障工作，建立学生营养与健康监测评估制度，加强学校集体供餐食品安全和营养质量监管。加强托幼机构卫生保健服务，强化留守儿童教育和孤残儿童、艾滋病孤儿和流浪未成年人救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开展“灵动儿童—阳光少年健康行动”，建立“学生—家庭—学校—医院”四位一体防治模式。倡导中小学生每天在校外接触自然光时间1小时以上，小学生、初中生、高中生每天睡眠时间分别不少于10、9、8个小时。实施儿童青少年近视综合防治行动，开展分级分类视力健康服务与管理，推进近视综合干预，学校眼保健操普及率达到100%，倡导中小学生非学习目的使用电子屏幕产品单次不宜超过15分钟，每天累计不宜超过1小时。健全学校心理教育、预防、咨询和危机干预体系，强化青少年网瘾预防与控制，促进青少年身心健康成长。实施农村义务教育学生营养改善计划，全面预防学生肥胖、营养不良、口腔疾病等，关爱青少年生殖健康，引导学生从小养成健康生活习惯。严格落实国家体育与健康课程标准，强化体育课和课外锻炼。到2022年和2030年，学生体质健康标准达标优良率分别达到25%及以上和30%及以上；全</w:t>
      </w:r>
      <w:r>
        <w:rPr>
          <w:rFonts w:hint="eastAsia"/>
          <w:lang w:eastAsia="zh-CN"/>
        </w:rPr>
        <w:t>区</w:t>
      </w:r>
      <w:r>
        <w:t>儿童青少年总体近视率力争每年降低1个百分点以上，新发近视率明显下降。（</w:t>
      </w:r>
      <w:r>
        <w:rPr>
          <w:rFonts w:hint="eastAsia"/>
          <w:lang w:eastAsia="zh-CN"/>
        </w:rPr>
        <w:t>区</w:t>
      </w:r>
      <w:r>
        <w:rPr>
          <w:rFonts w:hint="eastAsia"/>
        </w:rPr>
        <w:t>教</w:t>
      </w:r>
      <w:r>
        <w:rPr>
          <w:rFonts w:hint="eastAsia"/>
          <w:lang w:eastAsia="zh-CN"/>
        </w:rPr>
        <w:t>体</w:t>
      </w:r>
      <w:r>
        <w:rPr>
          <w:rFonts w:hint="eastAsia"/>
          <w:lang w:val="en-US" w:eastAsia="zh-CN"/>
        </w:rPr>
        <w:t>局</w:t>
      </w:r>
      <w:r>
        <w:rPr>
          <w:rFonts w:hint="eastAsia"/>
        </w:rPr>
        <w:t>牵头，</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水利局、</w:t>
      </w:r>
      <w:r>
        <w:rPr>
          <w:rFonts w:hint="eastAsia"/>
          <w:lang w:eastAsia="zh-CN"/>
        </w:rPr>
        <w:t>区市场监督管理局</w:t>
      </w:r>
      <w:r>
        <w:rPr>
          <w:rFonts w:hint="eastAsia"/>
        </w:rPr>
        <w:t>、团</w:t>
      </w:r>
      <w:r>
        <w:rPr>
          <w:rFonts w:hint="eastAsia"/>
          <w:lang w:eastAsia="zh-CN"/>
        </w:rPr>
        <w:t>区</w:t>
      </w:r>
      <w:r>
        <w:rPr>
          <w:rFonts w:hint="eastAsia"/>
        </w:rPr>
        <w:t>委分别负责）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（十）职业健康保护行动。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26.保护职业健康。加强对建设项目职业病防护设施“三同时”的监督管理，鼓励建设项目优先采用能有效防治职业病危害的技术、工艺、设备和材料。完善职业病防治技术支撑体系，支持各类职业病防治技术支撑机构建设，加强专业技术人才能力建设。加强职业健康监管体系建设，加大用人单位监管力度，督促用人单位落实主体责任。积极推进工伤保险参保扩面，重点关注农民工的参保情况。积极开展职业病患者救治救助，重点对已经诊断为职业性尘肺病，但没有参加工伤保险，且相关用人单位已不存在等特殊情况，以及因缺少职业病诊断所需资料、仅诊断为尘肺病的患者，将符合条件的纳入救助范围，统筹基本医保、大病保险、医疗救助三项制度，做好资助参保工作，实施综合医疗保障。对基本生活有困难的，全面落实生活帮扶措施。开展重点职业病监测，对职业健康风险进行评估，及时调整和制定相应政策，适时开展职业病危害专项治理。开展工作场所职业病危害因素监测和专项调查，系统收集信息，进行“互联网+职业健康”信息化建设，动态监管，提高监管效率。推进健康企业示范建设，倡导用人单位评选“健康达人”，加强企业负责人、职业卫生管理人员和劳动者的职业健康培训。重视劳动者健康监护，建立完善劳动者健康监护档案。鼓励企业建立保护劳动者健康的工间操制度、健身制度、无烟单位等相关制度。倡导健康工作方式，正确运用自我健康保护措施防止工作压力症、骨骼肌肉系统疾病和职业病的发生。至2022年和2030年，工伤保险参保人数稳步提升，并于2030年实现工伤保险法定人群参保全覆盖；接尘工龄不足5年的劳动者新发尘肺病报告例数占年度报告总例数的比例实现明显下降并持续下降；辖区职业健康检查和职业病诊断服务覆盖率分别达到80%及以上和90%及以上；重点行业的用人单位职业病危害项目申报率达到90%及以上；工作场所职业病危害因素检测率达到85%及以上，接触职业病危害的劳动者在岗期间职业健康检查率达到90%及以上；职业病诊断机构报告率达到95%及以上。（</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区发改局</w:t>
      </w:r>
      <w:r>
        <w:rPr>
          <w:rFonts w:hint="eastAsia"/>
        </w:rPr>
        <w:t>、</w:t>
      </w:r>
      <w:r>
        <w:rPr>
          <w:rFonts w:hint="eastAsia"/>
          <w:lang w:eastAsia="zh-CN"/>
        </w:rPr>
        <w:t>区经贸局</w:t>
      </w:r>
      <w:r>
        <w:rPr>
          <w:rFonts w:hint="eastAsia"/>
        </w:rPr>
        <w:t>、</w:t>
      </w:r>
      <w:r>
        <w:rPr>
          <w:rFonts w:hint="eastAsia"/>
          <w:lang w:eastAsia="zh-CN"/>
        </w:rPr>
        <w:t>区</w:t>
      </w:r>
      <w:r>
        <w:rPr>
          <w:rFonts w:hint="eastAsia"/>
        </w:rPr>
        <w:t>民政局、</w:t>
      </w:r>
      <w:r>
        <w:rPr>
          <w:rFonts w:hint="eastAsia"/>
          <w:lang w:eastAsia="zh-CN"/>
        </w:rPr>
        <w:t>区</w:t>
      </w:r>
      <w:r>
        <w:rPr>
          <w:rFonts w:hint="eastAsia"/>
        </w:rPr>
        <w:t>人社局、市生态环境局</w:t>
      </w:r>
      <w:r>
        <w:rPr>
          <w:rFonts w:hint="eastAsia"/>
          <w:lang w:eastAsia="zh-CN"/>
        </w:rPr>
        <w:t>汉台分局</w:t>
      </w:r>
      <w:r>
        <w:rPr>
          <w:rFonts w:hint="eastAsia"/>
        </w:rPr>
        <w:t>、</w:t>
      </w:r>
      <w:r>
        <w:rPr>
          <w:rFonts w:hint="eastAsia"/>
          <w:lang w:eastAsia="zh-CN"/>
        </w:rPr>
        <w:t>区</w:t>
      </w:r>
      <w:r>
        <w:rPr>
          <w:rFonts w:hint="eastAsia"/>
        </w:rPr>
        <w:t>医保局、</w:t>
      </w:r>
      <w:r>
        <w:rPr>
          <w:rFonts w:hint="eastAsia"/>
          <w:lang w:eastAsia="zh-CN"/>
        </w:rPr>
        <w:t>区</w:t>
      </w:r>
      <w:r>
        <w:rPr>
          <w:rFonts w:hint="eastAsia"/>
        </w:rPr>
        <w:t>总工会分别负责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（十一）老年健康促进行动。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27.加强老年人健康预防和干预。推广老年期常见疾病的防治适宜技术，开展预防老年人跌倒等干预健康指导。实施老年人心理健康预防和干预计划，加强对老年严重精神障碍患者的社区管理和康复治疗。引导老年人掌握正确的健康知识和理念，掌握自我保健和促进健康的基本技能。加强老年常见病、慢性病的健康指导和综合干预，强化老年人健康管理，为老年人提供连续的健康管理和医疗服务。提倡老年人参加定期体检，经常性监测呼吸、脉搏、血压、大小便情况，接受家庭医生（团队）的健康指导。鼓励和支持老年大学、老年活动中心、基层老年协会、有资质的社会组织等为老年人组织开展健康活动。发挥家庭医生（团队）作用，为老年人提供家庭医生签约服务。研究制定上门巡诊、家庭病床的服务标准和操作规范。探索提出长期护理保险制度试点的指导意见，研究完善照护服务标准体系。到2022年和2030年，65至74岁老年人失能发生率有所下降，65岁及以上人群老年期痴呆患病率增速下降，老年健康核心信息知晓率不断提高。（</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民政局、</w:t>
      </w:r>
      <w:r>
        <w:rPr>
          <w:rFonts w:hint="eastAsia"/>
          <w:lang w:eastAsia="zh-CN"/>
        </w:rPr>
        <w:t>区教体</w:t>
      </w:r>
      <w:r>
        <w:rPr>
          <w:rFonts w:hint="eastAsia"/>
        </w:rPr>
        <w:t>局、</w:t>
      </w:r>
      <w:r>
        <w:rPr>
          <w:rFonts w:hint="eastAsia"/>
          <w:lang w:eastAsia="zh-CN"/>
        </w:rPr>
        <w:t>区</w:t>
      </w:r>
      <w:r>
        <w:rPr>
          <w:rFonts w:hint="eastAsia"/>
        </w:rPr>
        <w:t>医保局分别负责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（十二）残疾预防健康行动。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28.维护残疾人健康。健全和完善残疾人医疗和康复服务体系，实施国家及陕西省残疾预防行动计划，开展全人群、全生命周期的致残因素预防和致残疾病防控，强化残疾预防宣传教育，增强全社会的残疾预防意识。进一步完善筛查、诊断、随报、评估一体的残疾监测网络，建立残疾报告制度。将儿童残疾初筛、残疾人康复纳入基本公共服务，以残疾儿童和持证残疾人为重点，实施精准康复行动。加强残疾人康复机构规范化建设，完善医疗机构无障碍设施，改善残疾人医疗服务，强化医疗机构与残疾人康复机构双向转诊合作，推动基层医疗卫生机构优先为残疾人提供签约服务。建设一批专业化骨干康复机构，加强综合医院康复医学科和康复医院建设。到2022年，二级以上医疗机构设置康复医学科比例达到90%；到2030年，二级以上医疗机构设置康复医学科比例达到100%。推进政府机关、公共服务、公共交通、社区等场所和设施无障碍改造，新（改、扩）建道路、建筑物和居住区达到国家无障碍设计规范要求。强化防盲治盲和防聋治聋工作。完善贫困残疾人参加基本医疗保险政府补贴政策。加强残疾人康复和托养设施建设，建立残疾儿童康复救助和残疾人基本型辅助器具适配补助制度。（</w:t>
      </w:r>
      <w:r>
        <w:rPr>
          <w:rFonts w:hint="eastAsia"/>
          <w:lang w:eastAsia="zh-CN"/>
        </w:rPr>
        <w:t>区</w:t>
      </w:r>
      <w:r>
        <w:rPr>
          <w:rFonts w:hint="eastAsia"/>
        </w:rPr>
        <w:t>残联牵头，</w:t>
      </w:r>
      <w:r>
        <w:rPr>
          <w:rFonts w:hint="eastAsia"/>
          <w:lang w:eastAsia="zh-CN"/>
        </w:rPr>
        <w:t>区</w:t>
      </w:r>
      <w:r>
        <w:rPr>
          <w:rFonts w:hint="eastAsia"/>
        </w:rPr>
        <w:t>民政局、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住建局、</w:t>
      </w:r>
      <w:r>
        <w:rPr>
          <w:rFonts w:hint="eastAsia"/>
          <w:lang w:eastAsia="zh-CN"/>
        </w:rPr>
        <w:t>区</w:t>
      </w:r>
      <w:r>
        <w:rPr>
          <w:rFonts w:hint="eastAsia"/>
        </w:rPr>
        <w:t>医保局分别负责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（十三）重点慢性病防治行动。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29.强化心脑血管疾病防治。实施心脑血管疾病防治行动。开展慢性病及危险因素监测，落实心脑血管事件登记报告制度，提供心脑血管疾病风险评估、健康教育以及综合干预等相关服务。全面落实35岁以上人群首诊测血压制度，加强高血压、高血糖、血脂异常的规范管理</w:t>
      </w:r>
      <w:r>
        <w:rPr>
          <w:rFonts w:hint="eastAsia"/>
        </w:rPr>
        <w:t>,落实医保“高血压、糖尿病”（两病）门诊用药保障制度</w:t>
      </w:r>
      <w:r>
        <w:t>。引导居民学习掌握心肺复苏等自救互救知识技能。对患者开展生活方式指导。加强卒中中心、胸痛中心建设，提高心脑血管疾病急危重症应急处置能力。鼓励、支持红十字会、急救中心、医疗机构和有资质的社会组织开展群众性应急救护培训，完善公共场所急救设施设备配备。倡导18岁及以上成人定期自我监测血压，血压正常高值人群和其他高危人群经常测量血压，40岁以下血脂正常人群每2-5年检测1次血脂，40岁及以上人群至少每年检测1次血脂，心脑血管疾病高危人群每6个月检测1次血脂。到2022年和2030年，心脑血管疾病死亡率分别下降到291.7/10万和265.2/10万及以下；30岁及以上居民高血压知晓率分别不低于55%和65%，高血压患者规范管理率分别不低于60%和70%，高血压治疗率和控制率持续提高。（</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区教体</w:t>
      </w:r>
      <w:r>
        <w:rPr>
          <w:rFonts w:hint="eastAsia"/>
        </w:rPr>
        <w:t>局、</w:t>
      </w:r>
      <w:r>
        <w:rPr>
          <w:rFonts w:hint="eastAsia"/>
          <w:lang w:eastAsia="zh-CN"/>
        </w:rPr>
        <w:t>区</w:t>
      </w:r>
      <w:r>
        <w:rPr>
          <w:rFonts w:hint="eastAsia"/>
        </w:rPr>
        <w:t>财政局、</w:t>
      </w:r>
      <w:r>
        <w:rPr>
          <w:rFonts w:hint="eastAsia"/>
          <w:lang w:eastAsia="zh-CN"/>
        </w:rPr>
        <w:t>区</w:t>
      </w:r>
      <w:r>
        <w:rPr>
          <w:rFonts w:hint="eastAsia"/>
        </w:rPr>
        <w:t>医保局、</w:t>
      </w:r>
      <w:r>
        <w:rPr>
          <w:rFonts w:hint="eastAsia"/>
          <w:lang w:eastAsia="zh-CN"/>
        </w:rPr>
        <w:t>区</w:t>
      </w:r>
      <w:r>
        <w:rPr>
          <w:rFonts w:hint="eastAsia"/>
        </w:rPr>
        <w:t>红十字会分别负责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30.强化癌症防治。提高癌症防治核心知识知晓率，倡导积极预防癌症。推进早筛查、早诊断、早治疗，降低癌症发病率和死亡率，提高患者生存质量。开展工作场所致癌职业病危害因素的定期检测、评价和个体防护管理工作。开展肿瘤登记报告，有序扩大癌症临床机会性筛查，推广应用常见癌症诊疗规范。加强农村贫困人口癌症筛查，继续开展贫困人口大病专项救治。提升各级医疗机构癌症诊疗能力。完善医保目录动态调整机制，提高抗癌药物可及性。基本实现癌症高危人群定期参加防癌体检。到2022年和2030年，总体癌症5年生存率分别不低于43.3%和46.6%。（</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民政局、</w:t>
      </w:r>
      <w:r>
        <w:rPr>
          <w:rFonts w:hint="eastAsia"/>
          <w:lang w:eastAsia="zh-CN"/>
        </w:rPr>
        <w:t>区</w:t>
      </w:r>
      <w:r>
        <w:rPr>
          <w:rFonts w:hint="eastAsia"/>
        </w:rPr>
        <w:t>财政局、</w:t>
      </w:r>
      <w:r>
        <w:rPr>
          <w:rFonts w:hint="eastAsia"/>
          <w:lang w:eastAsia="zh-CN"/>
        </w:rPr>
        <w:t>区</w:t>
      </w:r>
      <w:r>
        <w:rPr>
          <w:rFonts w:hint="eastAsia"/>
        </w:rPr>
        <w:t>医保局、</w:t>
      </w:r>
      <w:r>
        <w:rPr>
          <w:rFonts w:hint="eastAsia"/>
          <w:lang w:eastAsia="zh-CN"/>
        </w:rPr>
        <w:t>区</w:t>
      </w:r>
      <w:r>
        <w:rPr>
          <w:rFonts w:hint="eastAsia"/>
          <w:lang w:val="en-US" w:eastAsia="zh-CN"/>
        </w:rPr>
        <w:t>乡村振兴局</w:t>
      </w:r>
      <w:r>
        <w:rPr>
          <w:rFonts w:hint="eastAsia"/>
        </w:rPr>
        <w:t>、</w:t>
      </w:r>
      <w:r>
        <w:rPr>
          <w:rFonts w:hint="eastAsia"/>
          <w:lang w:eastAsia="zh-CN"/>
        </w:rPr>
        <w:t>区</w:t>
      </w:r>
      <w:r>
        <w:rPr>
          <w:rFonts w:hint="eastAsia"/>
        </w:rPr>
        <w:t>总工会分别负责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31.强化慢性呼吸系统疾病防治。加大慢性呼吸系统疾病防治知识宣传，引导重点人群早防、早诊、早治。推动各级医疗机构，特别是社区卫生服务中心和镇</w:t>
      </w:r>
      <w:r>
        <w:rPr>
          <w:rFonts w:hint="eastAsia"/>
          <w:lang w:val="en-US" w:eastAsia="zh-CN"/>
        </w:rPr>
        <w:t>中心</w:t>
      </w:r>
      <w:r>
        <w:t>卫生院配备肺功能检查仪等设备，做好基层专业人员培训，提高医疗卫生机构肺功能检查能力。将肺功能检查纳入40岁及以上人群常规体检内容。探索开展慢阻肺患者健康管理。到2022年和2030年，70岁及以下人群慢性呼吸系统疾病死亡率下降到9.0/10万及以下和8.1/10万及以下，预期40岁及以上居民慢阻肺知晓率不低于15%和30%。（</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、财政局、</w:t>
      </w:r>
      <w:r>
        <w:rPr>
          <w:rFonts w:hint="eastAsia"/>
          <w:lang w:eastAsia="zh-CN"/>
        </w:rPr>
        <w:t>区</w:t>
      </w:r>
      <w:r>
        <w:rPr>
          <w:rFonts w:hint="eastAsia"/>
        </w:rPr>
        <w:t>医保局分别负责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32.强化糖尿病防治。加大糖尿病防治知识宣传，引导居民关注自身血糖水平，促使糖尿病前期人群科学降低发病风险，指导糖尿病患者加强健康管理，延迟或预防糖尿病的发生发展。强化基层医疗卫生机构防治能力，落实糖尿病分级诊疗服务技术规范，促进糖尿病及并发症筛查标准化和诊疗规范化，提高糖尿病患者和高危人群健康服务水平。到2022年和2030年，糖尿病患者规范管理率分别达到60%及以上和70%及以上，18岁及以上居民糖尿病知晓率分别不低于50%和60%，糖尿病治疗率和控制率持续提高。（</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区发改局</w:t>
      </w:r>
      <w:r>
        <w:rPr>
          <w:rFonts w:hint="eastAsia"/>
        </w:rPr>
        <w:t>、</w:t>
      </w:r>
      <w:r>
        <w:rPr>
          <w:rFonts w:hint="eastAsia"/>
          <w:lang w:eastAsia="zh-CN"/>
        </w:rPr>
        <w:t>区</w:t>
      </w:r>
      <w:r>
        <w:rPr>
          <w:rFonts w:hint="eastAsia"/>
        </w:rPr>
        <w:t>财政局、</w:t>
      </w:r>
      <w:r>
        <w:rPr>
          <w:rFonts w:hint="eastAsia"/>
          <w:lang w:eastAsia="zh-CN"/>
        </w:rPr>
        <w:t>区</w:t>
      </w:r>
      <w:r>
        <w:rPr>
          <w:rFonts w:hint="eastAsia"/>
        </w:rPr>
        <w:t>医保局分别负责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33.强化口腔疾病防治。建立健全口腔卫生服务体系，推广口腔疾病防治适宜技术，有效提升口腔卫生服务能力。广泛开展口腔健康行为普及和口腔健康管理，倡导居民每天刷牙2次。开展口腔疾病高危行为干预，开展监测与评价，推进口腔健康工作。（</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区发改局</w:t>
      </w:r>
      <w:r>
        <w:rPr>
          <w:rFonts w:hint="eastAsia"/>
        </w:rPr>
        <w:t>、</w:t>
      </w:r>
      <w:r>
        <w:rPr>
          <w:rFonts w:hint="eastAsia"/>
          <w:lang w:eastAsia="zh-CN"/>
        </w:rPr>
        <w:t>区市场监督管理局</w:t>
      </w:r>
      <w:r>
        <w:rPr>
          <w:rFonts w:hint="eastAsia"/>
        </w:rPr>
        <w:t>、</w:t>
      </w:r>
      <w:r>
        <w:rPr>
          <w:rFonts w:hint="eastAsia"/>
          <w:lang w:val="en-US" w:eastAsia="zh-CN"/>
        </w:rPr>
        <w:t>区教体局、</w:t>
      </w:r>
      <w:r>
        <w:rPr>
          <w:rFonts w:hint="eastAsia"/>
          <w:lang w:eastAsia="zh-CN"/>
        </w:rPr>
        <w:t>区</w:t>
      </w:r>
      <w:r>
        <w:rPr>
          <w:rFonts w:hint="eastAsia"/>
        </w:rPr>
        <w:t>医保局分别负责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（十四）传染病防控行动。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34.提升病原微生物甄检能力。加强疾控机构实验室能力建设，完善病原微生物检测、鉴定、生物信息分析技术平台，加强检测新技术和新方法的储备与应用，提升新发、输入及罕见传染病快速检测能力。以疾控机构为核心，鼓励和支持临床实验室和第三方实验室等参与，建立健全病原微生物网络实验室体系。（</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财政局、</w:t>
      </w:r>
      <w:r>
        <w:rPr>
          <w:rFonts w:hint="eastAsia"/>
          <w:lang w:eastAsia="zh-CN"/>
        </w:rPr>
        <w:t>区</w:t>
      </w:r>
      <w:r>
        <w:rPr>
          <w:rFonts w:hint="eastAsia"/>
        </w:rPr>
        <w:t>农业农村局分别负责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35.提升传染病监测预警和应急处置能力。针对新冠肺炎疫情暴露出的传染病防控短板和不足，建立优化重大和新发传染病的应急响应、综合指挥、联防联控、救助治疗、舆情应对等防控管理机制；建立完善职责清晰、协调有力、运转高效的防控运行体系；落实早发现、早报告、早隔离、早治疗等防控措施，提高应对重大公共卫生事件的能力和水平。完善传染病监测和报告体系，逐步建立传染病病原谱监测网络和基于Web GIS（网络地理信息系统）的传染病综合监测信息平台。提升突发公共卫生事件应对能力，健全突发传染病应对体系，强化输入性、突发急性传染病防控工作。深度挖掘与分析应用传染病综合监测大数据，整合传染病病例临床、流行病和实验室相关信息，开展疫情研判，提高传染病预警水平，提升传染病防控能力。（</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财政局、</w:t>
      </w:r>
      <w:r>
        <w:rPr>
          <w:rFonts w:hint="eastAsia"/>
          <w:lang w:eastAsia="zh-CN"/>
        </w:rPr>
        <w:t>区</w:t>
      </w:r>
      <w:r>
        <w:rPr>
          <w:rFonts w:hint="eastAsia"/>
        </w:rPr>
        <w:t>应急管理局、</w:t>
      </w:r>
      <w:r>
        <w:rPr>
          <w:rFonts w:hint="eastAsia"/>
          <w:lang w:eastAsia="zh-CN"/>
        </w:rPr>
        <w:t>区经贸局</w:t>
      </w:r>
      <w:r>
        <w:rPr>
          <w:rFonts w:hint="eastAsia"/>
        </w:rPr>
        <w:t>、市自然资源局</w:t>
      </w:r>
      <w:r>
        <w:rPr>
          <w:rFonts w:hint="eastAsia"/>
          <w:lang w:eastAsia="zh-CN"/>
        </w:rPr>
        <w:t>汉台分局</w:t>
      </w:r>
      <w:r>
        <w:rPr>
          <w:rFonts w:hint="eastAsia"/>
        </w:rPr>
        <w:t>、</w:t>
      </w:r>
      <w:r>
        <w:rPr>
          <w:rFonts w:hint="eastAsia"/>
          <w:lang w:eastAsia="zh-CN"/>
        </w:rPr>
        <w:t>区</w:t>
      </w:r>
      <w:r>
        <w:rPr>
          <w:rFonts w:hint="eastAsia"/>
        </w:rPr>
        <w:t>统计局分别负责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36.实施重点传染病专病专防策略和寄生虫病防治工作。健全重大疾病防控统筹协调机制，强化联防联控，建立重点传染病临床诊疗和质控中心。巩固艾滋病、结核病、出血热、狂犬病、乙肝、手足口病、麻疹、流行性腮腺炎、布鲁氏菌病、梅毒等10种重点传染病精准防控成果。动员社会各界参与艾滋病防治工作，深化艾滋病防治“三个全覆盖”策略，推进艾滋病防控“六大工程”。加大结核病患者发现、登记、报告、规范化诊疗、全流程治疗的管理力度，强化病原学检测和耐多药防治工作。全面落实病毒性肝炎等传染病各项防治措施。完善犬只管理，加强牲畜检验检疫，从源头管控狂犬病、布病等人畜共患病。提高犬伤处置、艾滋病机会性感染、结核病等医保报销比例。防范输入性疟疾继发传播，维持消除疟疾状态。开展寄生虫病综合防控工作，降低农村寄生虫病流行区域人群感染率。到2022年和2030年，艾滋病全人群感染率分别控制在0.15%以下和0.2%以下，肺结核发病率下降到55/10万以下并得到有效控制，5岁以下儿童乙型肝炎病毒表面抗原流行率低于1%和0.5%。（</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委宣传部、</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区教体</w:t>
      </w:r>
      <w:r>
        <w:rPr>
          <w:rFonts w:hint="eastAsia"/>
        </w:rPr>
        <w:t>局、</w:t>
      </w:r>
      <w:r>
        <w:rPr>
          <w:rFonts w:hint="eastAsia"/>
          <w:lang w:eastAsia="zh-CN"/>
        </w:rPr>
        <w:t>区</w:t>
      </w:r>
      <w:r>
        <w:rPr>
          <w:rFonts w:hint="eastAsia"/>
        </w:rPr>
        <w:t>民政局、</w:t>
      </w:r>
      <w:r>
        <w:rPr>
          <w:rFonts w:hint="eastAsia"/>
          <w:lang w:eastAsia="zh-CN"/>
        </w:rPr>
        <w:t>区</w:t>
      </w:r>
      <w:r>
        <w:rPr>
          <w:rFonts w:hint="eastAsia"/>
        </w:rPr>
        <w:t>财政局、</w:t>
      </w:r>
      <w:r>
        <w:rPr>
          <w:rFonts w:hint="eastAsia"/>
          <w:lang w:eastAsia="zh-CN"/>
        </w:rPr>
        <w:t>区</w:t>
      </w:r>
      <w:r>
        <w:rPr>
          <w:rFonts w:hint="eastAsia"/>
        </w:rPr>
        <w:t>医保局、</w:t>
      </w:r>
      <w:r>
        <w:rPr>
          <w:rFonts w:hint="eastAsia"/>
          <w:lang w:eastAsia="zh-CN"/>
        </w:rPr>
        <w:t>区</w:t>
      </w:r>
      <w:r>
        <w:rPr>
          <w:rFonts w:hint="eastAsia"/>
          <w:lang w:val="en-US" w:eastAsia="zh-CN"/>
        </w:rPr>
        <w:t>乡村振兴局</w:t>
      </w:r>
      <w:r>
        <w:rPr>
          <w:rFonts w:hint="eastAsia"/>
        </w:rPr>
        <w:t>、</w:t>
      </w:r>
      <w:r>
        <w:rPr>
          <w:rFonts w:hint="eastAsia"/>
          <w:lang w:eastAsia="zh-CN"/>
        </w:rPr>
        <w:t>区</w:t>
      </w:r>
      <w:r>
        <w:rPr>
          <w:rFonts w:hint="eastAsia"/>
        </w:rPr>
        <w:t>农业农村局、市公安局</w:t>
      </w:r>
      <w:r>
        <w:rPr>
          <w:rFonts w:hint="eastAsia"/>
          <w:lang w:eastAsia="zh-CN"/>
        </w:rPr>
        <w:t>汉台分局</w:t>
      </w:r>
      <w:r>
        <w:rPr>
          <w:rFonts w:hint="eastAsia"/>
        </w:rPr>
        <w:t>、团</w:t>
      </w:r>
      <w:r>
        <w:rPr>
          <w:rFonts w:hint="eastAsia"/>
          <w:lang w:eastAsia="zh-CN"/>
        </w:rPr>
        <w:t>区</w:t>
      </w:r>
      <w:r>
        <w:rPr>
          <w:rFonts w:hint="eastAsia"/>
        </w:rPr>
        <w:t>委、</w:t>
      </w:r>
      <w:r>
        <w:rPr>
          <w:rFonts w:hint="eastAsia"/>
          <w:lang w:eastAsia="zh-CN"/>
        </w:rPr>
        <w:t>区</w:t>
      </w:r>
      <w:r>
        <w:rPr>
          <w:rFonts w:hint="eastAsia"/>
        </w:rPr>
        <w:t>红十字会分别负责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37.建设疫苗全过程管理和免疫策略评价体系。全面落实扩大国家免疫规划，规范疫苗流通和预防接种管理，逐步扩大免疫规划疫苗范围，建立预防接种异常反应补偿保险机制。继续维持无脊灰状态。倡导高危人群在流感流行季节前接种流感疫苗</w:t>
      </w:r>
      <w:r>
        <w:rPr>
          <w:rFonts w:hint="eastAsia"/>
        </w:rPr>
        <w:t>，完善重大疫情医疗救治费用保障机制</w:t>
      </w:r>
      <w:r>
        <w:t>。到2022年和2030年，以镇、街道为单位，适龄儿童免疫规划疫苗接种率保持在95%及以上。（</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区市场监督管理局</w:t>
      </w:r>
      <w:r>
        <w:rPr>
          <w:rFonts w:hint="eastAsia"/>
        </w:rPr>
        <w:t>、</w:t>
      </w:r>
      <w:r>
        <w:rPr>
          <w:rFonts w:hint="eastAsia"/>
          <w:lang w:eastAsia="zh-CN"/>
        </w:rPr>
        <w:t>区教体</w:t>
      </w:r>
      <w:r>
        <w:rPr>
          <w:rFonts w:hint="eastAsia"/>
        </w:rPr>
        <w:t>局、</w:t>
      </w:r>
      <w:r>
        <w:rPr>
          <w:rFonts w:hint="eastAsia"/>
          <w:lang w:eastAsia="zh-CN"/>
        </w:rPr>
        <w:t>区</w:t>
      </w:r>
      <w:r>
        <w:rPr>
          <w:rFonts w:hint="eastAsia"/>
        </w:rPr>
        <w:t>财政局分别负责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（十五）地方病防控行动。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38.实施地方病防治专项行动。加强地方病防治实验中心建设。落实地方病监测评价全覆盖，建立全</w:t>
      </w:r>
      <w:r>
        <w:rPr>
          <w:rFonts w:hint="eastAsia"/>
          <w:lang w:val="en-US" w:eastAsia="zh-CN"/>
        </w:rPr>
        <w:t>区</w:t>
      </w:r>
      <w:r>
        <w:t>地方病患者信息档案，完善医保政策，对大骨节病、氟骨症、甲状腺肿等地方病患者进行救治，并将地方病重症患者纳入家庭医生签约服务范围。对大骨节病、氟骨症患者进行残疾评定，对符合条件的患者进行救助帮扶。落实预防措施，完成饮水型氟砷中毒、高水碘地区改水工程建设；推进大骨节病高发地区移民搬迁和退耕还林（草），加大大骨节病等病区少年儿童综合防控力度；推广清洁能源，坚持以食盐加碘为主的综合防控策略，在碘缺乏地区持续推广居民食用碘盐，从源头上阻断高氟高砷健康危害。到2022年和2030年，保持控制和消除重点地方病。（</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财政局、</w:t>
      </w:r>
      <w:r>
        <w:rPr>
          <w:rFonts w:hint="eastAsia"/>
          <w:lang w:eastAsia="zh-CN"/>
        </w:rPr>
        <w:t>区</w:t>
      </w:r>
      <w:r>
        <w:rPr>
          <w:rFonts w:hint="eastAsia"/>
        </w:rPr>
        <w:t>水利局、</w:t>
      </w:r>
      <w:r>
        <w:rPr>
          <w:rFonts w:hint="eastAsia"/>
          <w:lang w:eastAsia="zh-CN"/>
        </w:rPr>
        <w:t>区</w:t>
      </w:r>
      <w:r>
        <w:rPr>
          <w:rFonts w:hint="eastAsia"/>
        </w:rPr>
        <w:t>民政局、</w:t>
      </w:r>
      <w:r>
        <w:rPr>
          <w:rFonts w:hint="eastAsia"/>
          <w:lang w:eastAsia="zh-CN"/>
        </w:rPr>
        <w:t>区经贸局</w:t>
      </w:r>
      <w:r>
        <w:rPr>
          <w:rFonts w:hint="eastAsia"/>
        </w:rPr>
        <w:t>、</w:t>
      </w:r>
      <w:r>
        <w:rPr>
          <w:rFonts w:hint="eastAsia"/>
          <w:lang w:eastAsia="zh-CN"/>
        </w:rPr>
        <w:t>区</w:t>
      </w:r>
      <w:r>
        <w:rPr>
          <w:rFonts w:hint="eastAsia"/>
          <w:lang w:val="en-US" w:eastAsia="zh-CN"/>
        </w:rPr>
        <w:t>乡村振兴局</w:t>
      </w:r>
      <w:r>
        <w:rPr>
          <w:rFonts w:hint="eastAsia"/>
        </w:rPr>
        <w:t>、</w:t>
      </w:r>
      <w:r>
        <w:rPr>
          <w:rFonts w:hint="eastAsia"/>
          <w:lang w:eastAsia="zh-CN"/>
        </w:rPr>
        <w:t>区</w:t>
      </w:r>
      <w:r>
        <w:rPr>
          <w:rFonts w:hint="eastAsia"/>
        </w:rPr>
        <w:t>医保局、市生态环境局</w:t>
      </w:r>
      <w:r>
        <w:rPr>
          <w:rFonts w:hint="eastAsia"/>
          <w:lang w:eastAsia="zh-CN"/>
        </w:rPr>
        <w:t>汉台分局</w:t>
      </w:r>
      <w:r>
        <w:rPr>
          <w:rFonts w:hint="eastAsia"/>
        </w:rPr>
        <w:t>、</w:t>
      </w:r>
      <w:r>
        <w:rPr>
          <w:rFonts w:hint="eastAsia"/>
          <w:lang w:eastAsia="zh-CN"/>
        </w:rPr>
        <w:t>区市场监督管理局</w:t>
      </w:r>
      <w:r>
        <w:rPr>
          <w:rFonts w:hint="eastAsia"/>
        </w:rPr>
        <w:t>、</w:t>
      </w:r>
      <w:r>
        <w:rPr>
          <w:rFonts w:hint="eastAsia"/>
          <w:lang w:eastAsia="zh-CN"/>
        </w:rPr>
        <w:t>区</w:t>
      </w:r>
      <w:r>
        <w:rPr>
          <w:rFonts w:hint="eastAsia"/>
        </w:rPr>
        <w:t>农业农村局、</w:t>
      </w:r>
      <w:r>
        <w:rPr>
          <w:rFonts w:hint="eastAsia"/>
          <w:lang w:eastAsia="zh-CN"/>
        </w:rPr>
        <w:t>区</w:t>
      </w:r>
      <w:r>
        <w:rPr>
          <w:rFonts w:hint="eastAsia"/>
        </w:rPr>
        <w:t>残联分别负责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（十六）健康细胞示范建设行动。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39.深化健康细胞示范建设。强化政府领导和行业部门协同，动员社会和群众广泛参与，持续深化健康机关、健康军营、健康社区、健康村庄、健康学校、健康医院、健康企业和健康家庭8类健康细胞示范建设。坚持健康融入所有政策，建立持续推进机制。结合行业特点，提出举措，推进建设。健康机关突出健康理念融入和健康行为养成。健康军营突出健康军营文化和健康主题活动。健康社区突出健康环境改善和健康服务供给。健康村庄突出环境卫生整治和公共卫生服务。健康学校突出健康教育促进和健康习惯培养。健康医院突出就医体验改善和职工健康关怀。健康企业突出健康制度建设和职业健康安全管理工作。健康家庭突出健康理念培育和健康行为养成。对健康汉中行动中的倡导性指标，在健康细胞中作为建设内容予以落实，逐步扩大健康细胞建设的内容和范围。建设成果评价提倡注重健康结果改善和健康素养提升，提倡注重健康生活习惯养成和健康环境改善。到2022年，健康细胞示范建设广泛开展，形成一批具有典型示范作用的健康细胞。到2030年，健康细胞建设覆盖社会各个方面，健康服务落实到社会所有居民。（</w:t>
      </w:r>
      <w:r>
        <w:rPr>
          <w:rFonts w:hint="eastAsia"/>
          <w:lang w:eastAsia="zh-CN"/>
        </w:rPr>
        <w:t>区</w:t>
      </w:r>
      <w:r>
        <w:rPr>
          <w:rFonts w:hint="eastAsia"/>
        </w:rPr>
        <w:t>直机关工委</w:t>
      </w:r>
      <w:r>
        <w:rPr>
          <w:rFonts w:hint="eastAsia"/>
          <w:lang w:eastAsia="zh-CN"/>
        </w:rPr>
        <w:t>、区人武部</w:t>
      </w:r>
      <w:r>
        <w:rPr>
          <w:rFonts w:hint="eastAsia"/>
        </w:rPr>
        <w:t>、</w:t>
      </w:r>
      <w:r>
        <w:rPr>
          <w:rFonts w:hint="eastAsia"/>
          <w:lang w:eastAsia="zh-CN"/>
        </w:rPr>
        <w:t>区</w:t>
      </w:r>
      <w:r>
        <w:rPr>
          <w:rFonts w:hint="eastAsia"/>
        </w:rPr>
        <w:t>民政局、</w:t>
      </w:r>
      <w:r>
        <w:rPr>
          <w:rFonts w:hint="eastAsia"/>
          <w:lang w:eastAsia="zh-CN"/>
        </w:rPr>
        <w:t>区</w:t>
      </w:r>
      <w:r>
        <w:rPr>
          <w:rFonts w:hint="eastAsia"/>
        </w:rPr>
        <w:t>农业</w:t>
      </w:r>
      <w:r>
        <w:rPr>
          <w:rFonts w:hint="eastAsia"/>
          <w:lang w:eastAsia="zh-CN"/>
        </w:rPr>
        <w:t>农村</w:t>
      </w:r>
      <w:r>
        <w:rPr>
          <w:rFonts w:hint="eastAsia"/>
        </w:rPr>
        <w:t>局、</w:t>
      </w:r>
      <w:r>
        <w:rPr>
          <w:rFonts w:hint="eastAsia"/>
          <w:lang w:eastAsia="zh-CN"/>
        </w:rPr>
        <w:t>区教体</w:t>
      </w:r>
      <w:r>
        <w:rPr>
          <w:rFonts w:hint="eastAsia"/>
        </w:rPr>
        <w:t>局、</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区经贸局</w:t>
      </w:r>
      <w:r>
        <w:rPr>
          <w:rFonts w:hint="eastAsia"/>
        </w:rPr>
        <w:t>、</w:t>
      </w:r>
      <w:r>
        <w:rPr>
          <w:rFonts w:hint="eastAsia"/>
          <w:lang w:eastAsia="zh-CN"/>
        </w:rPr>
        <w:t>区</w:t>
      </w:r>
      <w:r>
        <w:rPr>
          <w:rFonts w:hint="eastAsia"/>
        </w:rPr>
        <w:t>妇联分别负责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（十七）“医养在汉</w:t>
      </w:r>
      <w:r>
        <w:rPr>
          <w:rFonts w:hint="eastAsia" w:ascii="楷体_GB2312" w:hAnsi="楷体_GB2312" w:eastAsia="楷体_GB2312" w:cs="楷体_GB2312"/>
          <w:lang w:eastAsia="zh-CN"/>
        </w:rPr>
        <w:t>台</w:t>
      </w:r>
      <w:r>
        <w:rPr>
          <w:rFonts w:hint="eastAsia" w:ascii="楷体_GB2312" w:hAnsi="楷体_GB2312" w:eastAsia="楷体_GB2312" w:cs="楷体_GB2312"/>
        </w:rPr>
        <w:t>”融合发展行动。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40.推进医养融合发展。聚焦“医养在</w:t>
      </w:r>
      <w:r>
        <w:rPr>
          <w:rFonts w:hint="eastAsia"/>
          <w:lang w:eastAsia="zh-CN"/>
        </w:rPr>
        <w:t>汉台</w:t>
      </w:r>
      <w:r>
        <w:t>”，大力推进多业态融合发展，加强医养产业体系建设，把</w:t>
      </w:r>
      <w:r>
        <w:rPr>
          <w:rFonts w:hint="eastAsia"/>
          <w:lang w:eastAsia="zh-CN"/>
        </w:rPr>
        <w:t>汉台</w:t>
      </w:r>
      <w:r>
        <w:t>打造成“绿色康养圣地”。构建协同合作、无缝衔接的医养运行机制。鼓励养老机构开办老年病医院、康复医院、中医医院、护理院和安宁疗护中心等医疗机构。支持医疗机构与养老机构建立医疗养老联合体（共同体），开通双向转诊、急诊急救绿色通道。推动二级以上综合医院开设老年医学科。鼓励镇卫生院和养老院邻近建设，实行“两院一体”管理模式。加快引进社会资本进入医养产业，积极引导养老与房地产、医疗、保险、旅游、文化等产业融合发展，通过“养中有医”、“医中办养”、“医养协同”等形式，推动医养产业发展由公立机构为主向民办机构为主转变，由机构引领向社区、居家全覆盖转变，着力打造线上线下一体化的“无围墙”医养体系，构建以满足中高端需求为主、多层次服务协同发展的医养产业体系。到2022年，养老机构以不同形式为入住老年人提供医疗卫生服务比例达到100%并持续改善。（</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民政局牵头，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医保局、</w:t>
      </w:r>
      <w:r>
        <w:rPr>
          <w:rFonts w:hint="eastAsia"/>
          <w:lang w:eastAsia="zh-CN"/>
        </w:rPr>
        <w:t>区</w:t>
      </w:r>
      <w:r>
        <w:rPr>
          <w:rFonts w:hint="eastAsia"/>
        </w:rPr>
        <w:t>妇联等配合）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41.推动中医药融合发展。</w:t>
      </w:r>
      <w:r>
        <w:rPr>
          <w:rFonts w:hint="default"/>
        </w:rPr>
        <w:t>支持汉王药业、汉中汉医圣草等企业做大做强，丰富产品种类，加强原材料供应，提升产品品牌价值，提高市场占有率。完善中药产业上下游配套，继续推动医药企业退城进园转型升级，提高污染物处理效率，提升医药企业绿色化发展水平。鼓励中医医疗机构全面参与医养结合工作，加强中医药科研能力建设，提升中医药科研水平。</w:t>
      </w:r>
      <w:r>
        <w:t>（</w:t>
      </w:r>
      <w:r>
        <w:rPr>
          <w:rFonts w:hint="eastAsia"/>
          <w:lang w:eastAsia="zh-CN"/>
        </w:rPr>
        <w:t>区</w:t>
      </w:r>
      <w:r>
        <w:rPr>
          <w:rFonts w:hint="eastAsia"/>
        </w:rPr>
        <w:t>卫健</w:t>
      </w:r>
      <w:r>
        <w:rPr>
          <w:rFonts w:hint="eastAsia"/>
          <w:lang w:eastAsia="zh-CN"/>
        </w:rPr>
        <w:t>局</w:t>
      </w:r>
      <w:r>
        <w:rPr>
          <w:rFonts w:hint="eastAsia"/>
        </w:rPr>
        <w:t>、</w:t>
      </w:r>
      <w:r>
        <w:rPr>
          <w:rFonts w:hint="eastAsia"/>
          <w:lang w:val="en-US" w:eastAsia="zh-CN"/>
        </w:rPr>
        <w:t>区文旅局</w:t>
      </w:r>
      <w:r>
        <w:rPr>
          <w:rFonts w:hint="eastAsia"/>
        </w:rPr>
        <w:t>牵头，</w:t>
      </w:r>
      <w:r>
        <w:rPr>
          <w:rFonts w:hint="eastAsia"/>
          <w:lang w:eastAsia="zh-CN"/>
        </w:rPr>
        <w:t>区</w:t>
      </w:r>
      <w:r>
        <w:rPr>
          <w:rFonts w:hint="eastAsia"/>
          <w:lang w:val="en-US" w:eastAsia="zh-CN"/>
        </w:rPr>
        <w:t>市场监督管理局、</w:t>
      </w:r>
      <w:r>
        <w:rPr>
          <w:rFonts w:hint="eastAsia"/>
          <w:lang w:eastAsia="zh-CN"/>
        </w:rPr>
        <w:t>区</w:t>
      </w:r>
      <w:r>
        <w:rPr>
          <w:rFonts w:hint="eastAsia"/>
        </w:rPr>
        <w:t>农业农村局、</w:t>
      </w:r>
      <w:r>
        <w:rPr>
          <w:rFonts w:hint="eastAsia"/>
          <w:lang w:eastAsia="zh-CN"/>
        </w:rPr>
        <w:t>区</w:t>
      </w:r>
      <w:r>
        <w:rPr>
          <w:rFonts w:hint="eastAsia"/>
        </w:rPr>
        <w:t>林业局、</w:t>
      </w:r>
      <w:r>
        <w:rPr>
          <w:rFonts w:hint="eastAsia"/>
          <w:lang w:eastAsia="zh-CN"/>
        </w:rPr>
        <w:t>区</w:t>
      </w:r>
      <w:r>
        <w:rPr>
          <w:rFonts w:hint="eastAsia"/>
        </w:rPr>
        <w:t>商务局等配合</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42.强化健康管理。坚持健康</w:t>
      </w:r>
      <w:r>
        <w:rPr>
          <w:rFonts w:hint="eastAsia"/>
          <w:lang w:eastAsia="zh-CN"/>
        </w:rPr>
        <w:t>汉台</w:t>
      </w:r>
      <w:r>
        <w:t>从健康管理抓起，组建以</w:t>
      </w:r>
      <w:r>
        <w:rPr>
          <w:rFonts w:hint="eastAsia"/>
          <w:lang w:eastAsia="zh-CN"/>
        </w:rPr>
        <w:t>区</w:t>
      </w:r>
      <w:r>
        <w:t>为核心、</w:t>
      </w:r>
      <w:r>
        <w:rPr>
          <w:rFonts w:hint="eastAsia"/>
          <w:lang w:eastAsia="zh-CN"/>
        </w:rPr>
        <w:t>镇村</w:t>
      </w:r>
      <w:r>
        <w:t>为支撑，“政府主导、卫健主抓、横向融通、纵向分级”的医养健康管理联合体。在健联体总体框架下，夯实以市</w:t>
      </w:r>
      <w:r>
        <w:rPr>
          <w:rFonts w:hint="eastAsia"/>
          <w:lang w:eastAsia="zh-CN"/>
        </w:rPr>
        <w:t>人民</w:t>
      </w:r>
      <w:r>
        <w:t>医院牵头的区域医院健康联合体和</w:t>
      </w:r>
      <w:r>
        <w:rPr>
          <w:rFonts w:hint="eastAsia"/>
          <w:lang w:eastAsia="zh-CN"/>
        </w:rPr>
        <w:t>区</w:t>
      </w:r>
      <w:r>
        <w:t>疾控中心牵头的区域疾控健康联合体的职责。深入实施健康管理和健康促进，开展健康信息采集、筛查、评估、分类、干预、诊治、管理，建立“防大病、管慢病、促健康”为主的健康管理模式和“健联体+医联体”一体化健康服务机制。持续提升各级医疗卫生机构健康管理能力和全</w:t>
      </w:r>
      <w:r>
        <w:rPr>
          <w:rFonts w:hint="eastAsia"/>
          <w:lang w:eastAsia="zh-CN"/>
        </w:rPr>
        <w:t>区</w:t>
      </w:r>
      <w:r>
        <w:t>居民自我健康管理意识，推动健康管理逐步拓展到全人群、全生命周期，形成疾病预防、健康知识普及、健康理念转变的工作新格局。（</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医保局配合）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43.推进健康旅游全域发展。</w:t>
      </w:r>
      <w:r>
        <w:rPr>
          <w:rFonts w:hint="default"/>
        </w:rPr>
        <w:t>依托我区医养健康资源，深入挖掘历史文化、生态环境、旅游资源等优势，创新推动文化旅游与养老、医疗保健、养生服务深度融合，加快开发健康旅游业态，建设具有汉台特色的健康旅游产业体系。加强健康旅游相关设施建设，升级交通、环保、旅居等基础设施，进一步完善旅游服务与安全设施。加快开发高端医疗、特色专科、中医保健、康复疗养、医养结合等系列产品，打造健康旅游产业链。引导健康旅游服务相关支撑产业集聚发展，打造药械制造、技术研发、健康管理、疾病治疗、康复疗养、养生养老等产业集群。建立健康旅游信息服务体系，</w:t>
      </w:r>
      <w:r>
        <w:rPr>
          <w:rFonts w:hint="default"/>
          <w:lang w:eastAsia="en-US"/>
        </w:rPr>
        <w:t>为旅居人群提供急诊急救、特色康复保健、中医养生体验、中医药健康服务等健康旅游养生服务。</w:t>
      </w:r>
      <w:r>
        <w:t>（</w:t>
      </w:r>
      <w:r>
        <w:rPr>
          <w:rFonts w:hint="eastAsia"/>
          <w:lang w:eastAsia="zh-CN"/>
        </w:rPr>
        <w:t>区</w:t>
      </w:r>
      <w:r>
        <w:rPr>
          <w:rFonts w:hint="eastAsia"/>
        </w:rPr>
        <w:t>文旅局、</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农业农村局、</w:t>
      </w:r>
      <w:r>
        <w:rPr>
          <w:rFonts w:hint="eastAsia"/>
          <w:lang w:eastAsia="zh-CN"/>
        </w:rPr>
        <w:t>区</w:t>
      </w:r>
      <w:r>
        <w:rPr>
          <w:rFonts w:hint="eastAsia"/>
        </w:rPr>
        <w:t>林业局、</w:t>
      </w:r>
      <w:r>
        <w:rPr>
          <w:rFonts w:hint="eastAsia"/>
          <w:lang w:eastAsia="zh-CN"/>
        </w:rPr>
        <w:t>区</w:t>
      </w:r>
      <w:r>
        <w:rPr>
          <w:rFonts w:hint="eastAsia"/>
        </w:rPr>
        <w:t>商务局等配合</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44.大力开展健康体育。进一步优化市场环境，培育多元主体，引导社会力量参与健身休闲设施建设运营，构建以大众化市场为主体、适应多元化消费需求的健身休闲运动产业发展新格局。积极推进商业与体育融合发展，鼓励各地利用大型购物中心，建设多功能的购物、健身、娱乐综合体。加快开放体育资源，发展健身休闲运动产业，发展山地、水上、汽摩、航空、极限等具有消费引领特征的时尚休闲运动项目，推进运动康复产业发展，打造具有区域特色的健身休闲产业示范区（带）。实施体育赛事提升计划，举办一批高水平、高质量的体育健身主题赛事活动，做好现有的精品赛事、国际级和省级赛事，引进培育国际精品赛事和传统高水平赛事，积极承办登山、游泳、沿河骑行等大型赛事，进一步激活体育赛事市场，发挥赛事活动对关联产业的拉动效应。（</w:t>
      </w:r>
      <w:r>
        <w:rPr>
          <w:rFonts w:hint="eastAsia"/>
          <w:lang w:eastAsia="zh-CN"/>
        </w:rPr>
        <w:t>区教体</w:t>
      </w:r>
      <w:r>
        <w:rPr>
          <w:rFonts w:hint="eastAsia"/>
        </w:rPr>
        <w:t>局牵头，</w:t>
      </w:r>
      <w:r>
        <w:rPr>
          <w:rFonts w:hint="eastAsia"/>
          <w:lang w:eastAsia="zh-CN"/>
        </w:rPr>
        <w:t>区</w:t>
      </w:r>
      <w:r>
        <w:rPr>
          <w:rFonts w:hint="eastAsia"/>
        </w:rPr>
        <w:t>住建局、市自然资源局</w:t>
      </w:r>
      <w:r>
        <w:rPr>
          <w:rFonts w:hint="eastAsia"/>
          <w:lang w:eastAsia="zh-CN"/>
        </w:rPr>
        <w:t>汉台分局</w:t>
      </w:r>
      <w:r>
        <w:rPr>
          <w:rFonts w:hint="eastAsia"/>
        </w:rPr>
        <w:t>、</w:t>
      </w:r>
      <w:r>
        <w:rPr>
          <w:rFonts w:hint="eastAsia"/>
          <w:lang w:eastAsia="zh-CN"/>
        </w:rPr>
        <w:t>区</w:t>
      </w:r>
      <w:r>
        <w:rPr>
          <w:rFonts w:hint="eastAsia"/>
        </w:rPr>
        <w:t>总工会等配合</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45.大力发展绿色健康食品。</w:t>
      </w:r>
      <w:r>
        <w:rPr>
          <w:rFonts w:hint="default"/>
        </w:rPr>
        <w:t>大力推进绿色无公害农产品、绿色食品基地建设，深入开展果品、蔬菜、食用菌等标准园创建活动，扩大无公害食品、绿色食品的种植生产规模，打造一批高端绿色农产品生产基地。积极发展功能农业，开发富硒、富锌、富钙等功能性农产品，建设一批功能性农产品生产基地。支持区内食品加工制造和特色餐饮龙头企业，培育一批汉中特色的优质餐饮品牌。</w:t>
      </w:r>
      <w:r>
        <w:t>（</w:t>
      </w:r>
      <w:r>
        <w:rPr>
          <w:rFonts w:hint="eastAsia"/>
          <w:lang w:eastAsia="zh-CN"/>
        </w:rPr>
        <w:t>区</w:t>
      </w:r>
      <w:r>
        <w:rPr>
          <w:rFonts w:hint="eastAsia"/>
        </w:rPr>
        <w:t>农业农村局牵头，</w:t>
      </w:r>
      <w:r>
        <w:rPr>
          <w:rFonts w:hint="eastAsia"/>
          <w:lang w:eastAsia="zh-CN"/>
        </w:rPr>
        <w:t>区发改局</w:t>
      </w:r>
      <w:r>
        <w:rPr>
          <w:rFonts w:hint="eastAsia"/>
        </w:rPr>
        <w:t>、</w:t>
      </w:r>
      <w:r>
        <w:rPr>
          <w:rFonts w:hint="eastAsia"/>
          <w:lang w:eastAsia="zh-CN"/>
        </w:rPr>
        <w:t>区</w:t>
      </w:r>
      <w:r>
        <w:rPr>
          <w:rFonts w:hint="eastAsia"/>
        </w:rPr>
        <w:t>市场监督管理局、</w:t>
      </w:r>
      <w:r>
        <w:rPr>
          <w:rFonts w:hint="eastAsia"/>
          <w:lang w:eastAsia="zh-CN"/>
        </w:rPr>
        <w:t>区</w:t>
      </w:r>
      <w:r>
        <w:rPr>
          <w:rFonts w:hint="eastAsia"/>
        </w:rPr>
        <w:t>卫健</w:t>
      </w:r>
      <w:r>
        <w:rPr>
          <w:rFonts w:hint="eastAsia"/>
          <w:lang w:eastAsia="zh-CN"/>
        </w:rPr>
        <w:t>局</w:t>
      </w:r>
      <w:r>
        <w:rPr>
          <w:rFonts w:hint="eastAsia"/>
        </w:rPr>
        <w:t>等配合</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t>46.弘扬孝亲敬老健康文化。挖掘“汉人老家、汉家文化”的时代内涵，传承孝道、弘扬敬老传统，赋予其践行社会主义核心价值观、倡导睦邻友好的新时代风尚。常态化开展“孝亲敬老”实践活动，培育和引导全社会将亲情孝敬延伸到社会大爱。积极组织开展节日民俗文化活动、关爱老人儿童志愿服务活动，大力宣扬敬老爱幼的道德模范和先进典型，拓展和发扬“大同、博爱”的健康文化，构筑“中国梦”的良好风气和精神力量。 （</w:t>
      </w:r>
      <w:r>
        <w:rPr>
          <w:rFonts w:hint="eastAsia"/>
          <w:lang w:eastAsia="zh-CN"/>
        </w:rPr>
        <w:t>区</w:t>
      </w:r>
      <w:r>
        <w:rPr>
          <w:rFonts w:hint="eastAsia"/>
        </w:rPr>
        <w:t>委宣传部、</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区教体</w:t>
      </w:r>
      <w:r>
        <w:rPr>
          <w:rFonts w:hint="eastAsia"/>
        </w:rPr>
        <w:t>局、</w:t>
      </w:r>
      <w:r>
        <w:rPr>
          <w:rFonts w:hint="eastAsia"/>
          <w:lang w:eastAsia="zh-CN"/>
        </w:rPr>
        <w:t>区</w:t>
      </w:r>
      <w:r>
        <w:rPr>
          <w:rFonts w:hint="eastAsia"/>
        </w:rPr>
        <w:t>民政局、</w:t>
      </w:r>
      <w:r>
        <w:rPr>
          <w:rFonts w:hint="eastAsia"/>
          <w:lang w:eastAsia="zh-CN"/>
        </w:rPr>
        <w:t>区</w:t>
      </w:r>
      <w:r>
        <w:rPr>
          <w:rFonts w:hint="eastAsia"/>
        </w:rPr>
        <w:t>妇联、</w:t>
      </w:r>
      <w:r>
        <w:rPr>
          <w:rFonts w:hint="eastAsia"/>
          <w:lang w:eastAsia="zh-CN"/>
        </w:rPr>
        <w:t>区</w:t>
      </w:r>
      <w:r>
        <w:rPr>
          <w:rFonts w:hint="eastAsia"/>
        </w:rPr>
        <w:t>总工会等配合）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（十八）健康保障完善行动。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47.健康服务体系建设。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（1）公共卫生体系建设。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疾病预防控制机构能力建设。组织开展疾病预防控制中心达标建设和能力提升工程，实施疾控预防控制业务用房、仪器设备等项目建设。加强公共卫生学科和人才队伍建设，加大重大疾病防治的科研投入。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精神卫生机构能力建设。加强精神卫生中心机构和能力建设。开展精神卫生人员能力提升培训，实现治疗、管理、康复人员培训全覆盖。到2022年，启动精神卫生机构的建设。到2030年，精神卫生机构符合国家建设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卫生监督执法机构能力建设。加强卫生监督执法机构规范化建设，提高现代科技手段在执法办案中的应用水平。实施队伍执法能力提升工程，建设卫生监督执法培训基地和实践基地，打造公正廉洁、执法为民、敢于担当、技术过硬的卫生监督执法队伍。到2022年，完善全</w:t>
      </w:r>
      <w:r>
        <w:rPr>
          <w:rFonts w:hint="eastAsia"/>
          <w:lang w:eastAsia="zh-CN"/>
        </w:rPr>
        <w:t>区</w:t>
      </w:r>
      <w:r>
        <w:t>卫生监督执法人员培训制度。到2030年，建成一支专业化、规范化、职业化卫生监督执法队伍。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大力推进无偿献血事业发展，强化献血组织、宣传、动员及献血全过程服务等工作。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（2）医疗服务体系建设。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构建整合型医疗卫生服务体系。坚持提能力、基层筑网底，构建省市联动、</w:t>
      </w:r>
      <w:r>
        <w:rPr>
          <w:rFonts w:hint="eastAsia"/>
          <w:lang w:eastAsia="zh-CN"/>
        </w:rPr>
        <w:t>区镇</w:t>
      </w:r>
      <w:r>
        <w:t>村一体化的医疗卫生服务体系发展机制，全面建成体系完整、分工明确、功能互补、协作密切、运行高效的整合型医疗卫生服务体系。制定并实施医疗卫生服务体系规划，严格控制</w:t>
      </w:r>
      <w:r>
        <w:rPr>
          <w:rFonts w:hint="eastAsia"/>
          <w:lang w:val="en-US" w:eastAsia="zh-CN"/>
        </w:rPr>
        <w:t>区域</w:t>
      </w:r>
      <w:r>
        <w:t>公立综合医院总体规模和单体规模。根据疾病谱变化，推动</w:t>
      </w:r>
      <w:r>
        <w:rPr>
          <w:rFonts w:hint="eastAsia"/>
          <w:lang w:val="en-US" w:eastAsia="zh-CN"/>
        </w:rPr>
        <w:t>区域</w:t>
      </w:r>
      <w:r>
        <w:t>专科医院发展，增加儿童、妇产、康复、肿瘤、老年医学、精神卫生等薄弱专科资源投入，完善儿童、精神卫生等专科医院建设，加强康复、老年病、长期护理、慢性病管理、安宁疗护机构等接续性医疗机构建设。实施</w:t>
      </w:r>
      <w:r>
        <w:rPr>
          <w:rFonts w:hint="eastAsia"/>
          <w:lang w:eastAsia="zh-CN"/>
        </w:rPr>
        <w:t>区</w:t>
      </w:r>
      <w:r>
        <w:t>级医院综合能力提升工程，增强对</w:t>
      </w:r>
      <w:r>
        <w:rPr>
          <w:rFonts w:hint="eastAsia"/>
          <w:lang w:val="en-US" w:eastAsia="zh-CN"/>
        </w:rPr>
        <w:t>区</w:t>
      </w:r>
      <w:r>
        <w:t>、</w:t>
      </w:r>
      <w:r>
        <w:rPr>
          <w:rFonts w:hint="eastAsia"/>
          <w:lang w:eastAsia="zh-CN"/>
        </w:rPr>
        <w:t>镇、</w:t>
      </w:r>
      <w:r>
        <w:t>村各级医疗卫生机构的辐射带动作用，推动建设</w:t>
      </w:r>
      <w:r>
        <w:rPr>
          <w:rFonts w:hint="eastAsia"/>
          <w:lang w:val="en-US" w:eastAsia="zh-CN"/>
        </w:rPr>
        <w:t>区</w:t>
      </w:r>
      <w:r>
        <w:t>域康复、护理、精神卫生等中心。有效增加基层医疗卫生机构资源供给，强化医院医疗卫生服务能力。根据服务人口、交通等因素，合理布局基层医疗卫生资源。筑牢基层医疗卫生服务网底，每个镇（街道）办好一所镇</w:t>
      </w:r>
      <w:r>
        <w:rPr>
          <w:rFonts w:hint="eastAsia"/>
          <w:lang w:val="en-US" w:eastAsia="zh-CN"/>
        </w:rPr>
        <w:t>中心</w:t>
      </w:r>
      <w:r>
        <w:t>卫生院（社区卫生服务中心），每个行政村办好一所村卫生室，每个社区办好一个社区卫生服务站。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转变医疗卫生服务供给模式。大力推进整合性医疗卫生服务体系建设，健全专业公共卫生机构、综合和专科医疗机构、基层医疗卫生机构“三位一体”的重大疾病防控机制，推进慢性病防、治、管整体融合发展，构建预防-治疗-康复-长期护理服务链条，实现医防结合。引导三级公立医院逐步减少普通门诊，重点发展危急重症、疑难病症诊疗。加强基层医疗服务机构能力提升，重点发展对重大、常见、多发病的诊疗和下转病人的康复治疗，加强全科医生队伍建设，完善家庭医生签约服务，发挥健康守门人的作用。全面建立成熟完善的分级诊疗制度，形成基层首诊、双向转诊、上下联动、急慢分治的合理就医秩序。到2022年，符合</w:t>
      </w:r>
      <w:r>
        <w:rPr>
          <w:rFonts w:hint="eastAsia"/>
          <w:lang w:eastAsia="zh-CN"/>
        </w:rPr>
        <w:t>区</w:t>
      </w:r>
      <w:r>
        <w:t>情诊疗制度基本建立，逐步拓展家庭医生签约覆盖范围。到2030年，各级各类医疗机构依照功能定位，建立成熟稳定的分工协作机制，形成成熟定型的分级诊疗制度。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提升医疗服务水平和质量。建立覆盖主要专业和学科的医疗质量控制指标体系，建设全</w:t>
      </w:r>
      <w:r>
        <w:rPr>
          <w:rFonts w:hint="eastAsia"/>
          <w:lang w:eastAsia="zh-CN"/>
        </w:rPr>
        <w:t>区</w:t>
      </w:r>
      <w:r>
        <w:t>医疗质量管理与控制信息平台，推进医疗机构检查、检验结果互认。全面实施临床路径管理，提高针对重大疾病的规范化诊疗与管理水平。建设脑卒中、胸痛中心绿色救治体系和新发传染病诊疗体系。持续推进改善医疗服务行动计划，提高医疗服务同质化程度。完善</w:t>
      </w:r>
      <w:r>
        <w:rPr>
          <w:rFonts w:hint="eastAsia"/>
          <w:lang w:val="en-US" w:eastAsia="zh-CN"/>
        </w:rPr>
        <w:t>全区</w:t>
      </w:r>
      <w:r>
        <w:t>医院对口支援基层医疗卫生机构制度，提高整体医疗服务水平。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加快康复医疗发展。加强专业康复医疗机构建设，以三级医院为龙头，联合区域内专科医院，融合社会办康复医疗机构，构建区域康复医学专科医联体，促进康复医学发展和服务改善。加强中西医协同，推进各级各类医疗机构发展中医特色康复服务，建立康复专科医师和康复治疗师规范化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区发改局</w:t>
      </w:r>
      <w:r>
        <w:rPr>
          <w:rFonts w:hint="eastAsia"/>
        </w:rPr>
        <w:t>、</w:t>
      </w:r>
      <w:r>
        <w:rPr>
          <w:rFonts w:hint="eastAsia"/>
          <w:lang w:eastAsia="zh-CN"/>
        </w:rPr>
        <w:t>区</w:t>
      </w:r>
      <w:r>
        <w:rPr>
          <w:rFonts w:hint="eastAsia"/>
        </w:rPr>
        <w:t>财政局、</w:t>
      </w:r>
      <w:r>
        <w:rPr>
          <w:rFonts w:hint="eastAsia"/>
          <w:lang w:eastAsia="zh-CN"/>
        </w:rPr>
        <w:t>区</w:t>
      </w:r>
      <w:r>
        <w:rPr>
          <w:rFonts w:hint="eastAsia"/>
        </w:rPr>
        <w:t>人社局、</w:t>
      </w:r>
      <w:r>
        <w:rPr>
          <w:rFonts w:hint="eastAsia"/>
          <w:lang w:eastAsia="zh-CN"/>
        </w:rPr>
        <w:t>区</w:t>
      </w:r>
      <w:r>
        <w:rPr>
          <w:rFonts w:hint="eastAsia"/>
        </w:rPr>
        <w:t>医保局分别负责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（3）健康人才队伍建设。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完善医学人才培训制度。全面实施住院医师规范化培训，逐步实行专科医生规范化培训制度。加快以全科医生为重点的基层医疗卫生人才培养体系建设，加强产科、儿科危急重症救治能力和儿科、精神科医师转岗培训。鼓励执业（助理）医师在区域内多点执业。强化面向全员的继续医学教育制度，大力开展“互联网+继续医学教育”，创新推广开放式健康医疗教育体系和线上线下相结合的互联网教学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加强高层次和紧缺人才培养。支持医疗卫生人才参与重点人才工程项目，培养造就一批高层次、创新型、复合型学科带头人和行业领军人才。为卫生健康专业技术人员开展学术交流合作创造条件，争取参照教学科研人员实行临时出国（境）区别管理。加强药师、中医药健康服务、卫生应急、卫生信息化和社会体育指导员等紧缺人才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加强基层医疗卫生人才队伍建设。继续实施基层医学人才定向招聘、农村订单定向免费医学生培养项目和基层医疗卫生机构全科医师特岗计划，引导医疗卫生人才到基层为群众服务。完善人才流动、薪酬待遇等扶持优惠政策，吸引医疗卫生人才到基层工作。继续落实基层医疗卫生人才评价优惠政策，加强村医队伍建设，保障村医合理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深化卫生专业技术人才人事管理制度改革。合理提高医疗卫生机构，特别是基层医疗卫生机构中高级岗位比例，对紧缺人才优先聘用录用、优先晋升职称。落实医疗卫生机构用人自主权，对引进高层次人才和特殊紧缺专业人才开设绿色通道。按有关规定和程序，可由用人单位自主公开招聘，纳入编制内管理。全面推行聘用制，形成能进能出的灵活用人机制。创新医务人员使用、流动与服务提供模式，逐步实行区域执业注册，推进医师多点执业，拓宽医务人员职业发展空间。建立医务人员荣誉制度。探索医师自由执业、医师个人与医疗机构签约服务或组建医生集团的执业模式，最大程度释放医疗生产力的潜能。</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建立适应医疗行业特点的薪酬制度。落实“两个允许”，完善绩效工资总量核定办法，合理确定各级各类医疗卫生机构绩效工资总额，加快推动公立医院薪酬制度改革。以完善绩效工资内部分配制度为重点，推进公立医院薪酬制度改革。合理调节不同学科和专业的薪酬待遇水平，落实国家有关特殊岗位津贴政策，采取在绩效工资总量内分配倾斜等方法，多途径提高全科、儿科、产科、公共卫生、精神卫生、养老护理员等紧缺专业人才岗位吸引力。</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到2022年，人才队伍梯次初步形成。到2030年，</w:t>
      </w:r>
      <w:r>
        <w:rPr>
          <w:rFonts w:hint="eastAsia"/>
          <w:lang w:val="en-US" w:eastAsia="zh-CN"/>
        </w:rPr>
        <w:t>城乡</w:t>
      </w:r>
      <w:r>
        <w:t>卫生健康人才分布趋于合理。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w:t>
      </w:r>
      <w:r>
        <w:rPr>
          <w:rFonts w:hint="eastAsia"/>
          <w:lang w:eastAsia="zh-CN"/>
        </w:rPr>
        <w:t>区</w:t>
      </w:r>
      <w:r>
        <w:rPr>
          <w:rFonts w:hint="eastAsia"/>
        </w:rPr>
        <w:t>卫健</w:t>
      </w:r>
      <w:r>
        <w:rPr>
          <w:rFonts w:hint="eastAsia"/>
          <w:lang w:eastAsia="zh-CN"/>
        </w:rPr>
        <w:t>局</w:t>
      </w:r>
      <w:r>
        <w:rPr>
          <w:rFonts w:hint="eastAsia"/>
        </w:rPr>
        <w:t>、</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w:t>
      </w:r>
      <w:r>
        <w:rPr>
          <w:rFonts w:hint="eastAsia"/>
        </w:rPr>
        <w:t>教</w:t>
      </w:r>
      <w:r>
        <w:rPr>
          <w:rFonts w:hint="eastAsia"/>
          <w:lang w:eastAsia="zh-CN"/>
        </w:rPr>
        <w:t>体</w:t>
      </w:r>
      <w:r>
        <w:rPr>
          <w:rFonts w:hint="eastAsia"/>
        </w:rPr>
        <w:t>局、</w:t>
      </w:r>
      <w:r>
        <w:rPr>
          <w:rFonts w:hint="eastAsia"/>
          <w:lang w:eastAsia="zh-CN"/>
        </w:rPr>
        <w:t>区</w:t>
      </w:r>
      <w:r>
        <w:rPr>
          <w:rFonts w:hint="eastAsia"/>
        </w:rPr>
        <w:t>人社局负责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48.健康信息化建设。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1）建立健康信息服务平台。健全全民健康信息平台，完善电子健康档案、电子病历数据库和全员人口数据库，实现医疗服务、公共卫生服务、计划生育、医疗保障、药品供应保障和综合管理六大应用系统业务协同，建立基本完备的全民健康信息化机制。全面建立远程医疗应用体系，发展智慧健康医疗惠民服务，远程医疗覆盖</w:t>
      </w:r>
      <w:r>
        <w:rPr>
          <w:rFonts w:hint="eastAsia"/>
          <w:lang w:eastAsia="zh-CN"/>
        </w:rPr>
        <w:t>市</w:t>
      </w:r>
      <w:r>
        <w:t>、</w:t>
      </w:r>
      <w:r>
        <w:rPr>
          <w:rFonts w:hint="eastAsia"/>
          <w:lang w:val="en-US" w:eastAsia="zh-CN"/>
        </w:rPr>
        <w:t>区</w:t>
      </w:r>
      <w:r>
        <w:t>、</w:t>
      </w:r>
      <w:r>
        <w:rPr>
          <w:rFonts w:hint="eastAsia"/>
          <w:lang w:eastAsia="zh-CN"/>
        </w:rPr>
        <w:t>镇</w:t>
      </w:r>
      <w:r>
        <w:t>三级医疗卫生机构。推进医疗卫生机构信息公开共享和健康档案向个人开放。到2022年，基本实现市、</w:t>
      </w:r>
      <w:r>
        <w:rPr>
          <w:rFonts w:hint="eastAsia"/>
          <w:lang w:val="en-US" w:eastAsia="zh-CN"/>
        </w:rPr>
        <w:t>区</w:t>
      </w:r>
      <w:r>
        <w:t>、镇三级健康信息平台互通共享，远程医疗覆盖到中心卫生院；到2030年，健康信息化服务能力达到全省先进水平。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2）推进“互联网+医疗健康”服务。规范和推动“互联网+医疗健康”服务，创新互联网医疗健康服务模式，充分利用穿戴式、植入式智能健康监测设备，结合移动终端、固定终端等设备，提供个性化健康管理、康复养老服务，打造高端医疗技术和管理平台。建立完善掌上医疗APP，有效规范网上预约、在线咨询、交流互动、网上支付、远程医疗、远程健康教育培训等健康信息服务业。运用现代信息技术，推进“互联网+分级诊疗+医保结算”，将</w:t>
      </w:r>
      <w:r>
        <w:rPr>
          <w:rFonts w:hint="eastAsia"/>
          <w:lang w:val="en-US" w:eastAsia="zh-CN"/>
        </w:rPr>
        <w:t>区</w:t>
      </w:r>
      <w:r>
        <w:t>级优质医疗资源延伸覆盖</w:t>
      </w:r>
      <w:r>
        <w:rPr>
          <w:rFonts w:hint="eastAsia"/>
          <w:lang w:val="en-US" w:eastAsia="zh-CN"/>
        </w:rPr>
        <w:t>镇、社区</w:t>
      </w:r>
      <w:r>
        <w:t>医疗机构，实现全</w:t>
      </w:r>
      <w:r>
        <w:rPr>
          <w:rFonts w:hint="eastAsia"/>
          <w:lang w:val="en-US" w:eastAsia="zh-CN"/>
        </w:rPr>
        <w:t>区</w:t>
      </w:r>
      <w:r>
        <w:t>优质医疗资源共享与有效利用，提供优质、高效、便捷的医疗服务。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3）鼓励健康大数据开发应用。建立医疗大数据中心，完善全民健康信息平台，推进健康医疗大数据分析和共享、深度挖掘和广泛应用。全面深化健康医疗大数据在健康服务、健康保障、临床科研、医药研发和行业管理等领域的应用，培育健康医疗大数据应用新业态。优化公立医院病种组合指数、药品指数、耗材指数等标准指数体系，健全与病种指数对应的医疗费用分级分类管理标准，探索建立每单位病种指数对应的资源投入、成本结构等评价机制与方法。推进健康医疗大数据分级分类分域规范化应用，推动网络可信体系建设，加强健康医疗数据安全保障和患者隐私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到2030年，人人拥有规范化的电子健康档案和功能完善的居民健康卡，全面实现全民健康信息的规范管理和使用，满足公众个性化服务和精准化医疗的需要。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w:t>
      </w:r>
      <w:r>
        <w:rPr>
          <w:rFonts w:hint="eastAsia"/>
          <w:lang w:eastAsia="zh-CN"/>
        </w:rPr>
        <w:t>区</w:t>
      </w:r>
      <w:r>
        <w:rPr>
          <w:rFonts w:hint="eastAsia"/>
        </w:rPr>
        <w:t>卫健</w:t>
      </w:r>
      <w:r>
        <w:rPr>
          <w:rFonts w:hint="eastAsia"/>
          <w:lang w:eastAsia="zh-CN"/>
        </w:rPr>
        <w:t>局</w:t>
      </w:r>
      <w:r>
        <w:rPr>
          <w:rFonts w:hint="eastAsia"/>
        </w:rPr>
        <w:t>牵头，</w:t>
      </w:r>
      <w:r>
        <w:rPr>
          <w:rFonts w:hint="eastAsia"/>
          <w:lang w:eastAsia="zh-CN"/>
        </w:rPr>
        <w:t>区</w:t>
      </w:r>
      <w:r>
        <w:rPr>
          <w:rFonts w:hint="eastAsia"/>
        </w:rPr>
        <w:t>委网信办、</w:t>
      </w:r>
      <w:r>
        <w:rPr>
          <w:rFonts w:hint="eastAsia"/>
          <w:lang w:eastAsia="zh-CN"/>
        </w:rPr>
        <w:t>区</w:t>
      </w:r>
      <w:r>
        <w:rPr>
          <w:rFonts w:hint="eastAsia"/>
        </w:rPr>
        <w:t>发改</w:t>
      </w:r>
      <w:r>
        <w:rPr>
          <w:rFonts w:hint="eastAsia"/>
          <w:lang w:eastAsia="zh-CN"/>
        </w:rPr>
        <w:t>局</w:t>
      </w:r>
      <w:r>
        <w:rPr>
          <w:rFonts w:hint="eastAsia"/>
        </w:rPr>
        <w:t>、</w:t>
      </w:r>
      <w:r>
        <w:rPr>
          <w:rFonts w:hint="eastAsia"/>
          <w:lang w:eastAsia="zh-CN"/>
        </w:rPr>
        <w:t>区经贸局</w:t>
      </w:r>
      <w:r>
        <w:rPr>
          <w:rFonts w:hint="eastAsia"/>
        </w:rPr>
        <w:t>、</w:t>
      </w:r>
      <w:r>
        <w:rPr>
          <w:rFonts w:hint="eastAsia"/>
          <w:lang w:eastAsia="zh-CN"/>
        </w:rPr>
        <w:t>区</w:t>
      </w:r>
      <w:r>
        <w:rPr>
          <w:rFonts w:hint="eastAsia"/>
        </w:rPr>
        <w:t>医保局、</w:t>
      </w:r>
      <w:r>
        <w:rPr>
          <w:rFonts w:hint="eastAsia"/>
          <w:lang w:eastAsia="zh-CN"/>
        </w:rPr>
        <w:t>区</w:t>
      </w:r>
      <w:r>
        <w:rPr>
          <w:rFonts w:hint="eastAsia"/>
        </w:rPr>
        <w:t>财政局分别负责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（一）加强组织领导。</w:t>
      </w:r>
      <w:r>
        <w:t>在</w:t>
      </w:r>
      <w:r>
        <w:rPr>
          <w:rFonts w:hint="eastAsia"/>
          <w:lang w:eastAsia="zh-CN"/>
        </w:rPr>
        <w:t>区</w:t>
      </w:r>
      <w:r>
        <w:t>委、</w:t>
      </w:r>
      <w:r>
        <w:rPr>
          <w:rFonts w:hint="eastAsia"/>
          <w:lang w:eastAsia="zh-CN"/>
        </w:rPr>
        <w:t>区</w:t>
      </w:r>
      <w:r>
        <w:t>政府领导下，由健康汉</w:t>
      </w:r>
      <w:r>
        <w:rPr>
          <w:rFonts w:hint="eastAsia"/>
          <w:lang w:eastAsia="zh-CN"/>
        </w:rPr>
        <w:t>台</w:t>
      </w:r>
      <w:r>
        <w:t>建设工作委员会统筹推进健康汉</w:t>
      </w:r>
      <w:r>
        <w:rPr>
          <w:rFonts w:hint="eastAsia"/>
          <w:lang w:eastAsia="zh-CN"/>
        </w:rPr>
        <w:t>台</w:t>
      </w:r>
      <w:r>
        <w:t>行动，负责组织实施《健康汉</w:t>
      </w:r>
      <w:r>
        <w:rPr>
          <w:rFonts w:hint="eastAsia"/>
          <w:lang w:eastAsia="zh-CN"/>
        </w:rPr>
        <w:t>台</w:t>
      </w:r>
      <w:r>
        <w:t>行动（2020-2030年）》，组织开展行动监测评估和考核评价，指导实施具体行动方案。各相关部门要按照职责分工，将健康融入各项政策中，围绕健康汉</w:t>
      </w:r>
      <w:r>
        <w:rPr>
          <w:rFonts w:hint="eastAsia"/>
          <w:lang w:eastAsia="zh-CN"/>
        </w:rPr>
        <w:t>台</w:t>
      </w:r>
      <w:r>
        <w:t>行动、健康细胞示范建设工作，各负其责，制定具体实施方案、措施，并全面推进各项任务落实。设立各专项行动工作组，负责研究制定专项行动方案，确定年度工作重点，开展专项行动的具体实施和监测。结合实际，健全组织领导机构和工作推进机制，研究制定实施方案，逐项抓好任务落实。（</w:t>
      </w:r>
      <w:r>
        <w:rPr>
          <w:rFonts w:hint="eastAsia"/>
        </w:rPr>
        <w:t>健康汉</w:t>
      </w:r>
      <w:r>
        <w:rPr>
          <w:rFonts w:hint="eastAsia"/>
          <w:lang w:eastAsia="zh-CN"/>
        </w:rPr>
        <w:t>台</w:t>
      </w:r>
      <w:r>
        <w:rPr>
          <w:rFonts w:hint="eastAsia"/>
        </w:rPr>
        <w:t>建设工作委员会各成员单位分别负责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（二）建立考评机制。</w:t>
      </w:r>
      <w:r>
        <w:t>完善考核评估机制和问责制度，把健康汉</w:t>
      </w:r>
      <w:r>
        <w:rPr>
          <w:rFonts w:hint="eastAsia"/>
          <w:lang w:eastAsia="zh-CN"/>
        </w:rPr>
        <w:t>台</w:t>
      </w:r>
      <w:r>
        <w:t>行动执行情况纳入各级党委政府和相关部门的考核内容。发挥行业协（学）会组织作用，必要时引入第三方考核评价机制，开展健康汉</w:t>
      </w:r>
      <w:r>
        <w:rPr>
          <w:rFonts w:hint="eastAsia"/>
          <w:lang w:eastAsia="zh-CN"/>
        </w:rPr>
        <w:t>台</w:t>
      </w:r>
      <w:r>
        <w:t>行动专项调查评估。完善监测评估体系，对主要指标、重点任务的实施效果进行监测评估。建立定期调研督导机制，研究解决实施中出现的问题和困难。（</w:t>
      </w:r>
      <w:r>
        <w:rPr>
          <w:rFonts w:hint="eastAsia"/>
        </w:rPr>
        <w:t>健康汉</w:t>
      </w:r>
      <w:r>
        <w:rPr>
          <w:rFonts w:hint="eastAsia"/>
          <w:lang w:eastAsia="zh-CN"/>
        </w:rPr>
        <w:t>台</w:t>
      </w:r>
      <w:r>
        <w:rPr>
          <w:rFonts w:hint="eastAsia"/>
        </w:rPr>
        <w:t>建设工作委员会各成员单位分别负责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（三）健全支撑体系。</w:t>
      </w:r>
      <w:r>
        <w:t>充实健康汉</w:t>
      </w:r>
      <w:r>
        <w:rPr>
          <w:rFonts w:hint="eastAsia"/>
          <w:lang w:eastAsia="zh-CN"/>
        </w:rPr>
        <w:t>台</w:t>
      </w:r>
      <w:r>
        <w:t>建设工作委员会，下设综合协调组、业务指导组、监测评估组和宣传引导组。成立健康汉</w:t>
      </w:r>
      <w:r>
        <w:rPr>
          <w:rFonts w:hint="eastAsia"/>
          <w:lang w:eastAsia="zh-CN"/>
        </w:rPr>
        <w:t>台</w:t>
      </w:r>
      <w:r>
        <w:t>行动专家咨询委员会，为健康汉</w:t>
      </w:r>
      <w:r>
        <w:rPr>
          <w:rFonts w:hint="eastAsia"/>
          <w:lang w:eastAsia="zh-CN"/>
        </w:rPr>
        <w:t>台</w:t>
      </w:r>
      <w:r>
        <w:t>行动提供技术支持和发挥智库作用。各专项行动工作组根据工作进展和监测情况，每年形成专题报告。充分发挥相关行业学会、协会和群团组织以及其他社会组织作用，指导、组织健康促进和健康科普工作。加大政府投入力度，建立健全稳定的经费保障机制，引导、鼓励社会和企业投资健康领域。（</w:t>
      </w:r>
      <w:r>
        <w:rPr>
          <w:rFonts w:hint="eastAsia"/>
          <w:lang w:eastAsia="zh-CN"/>
        </w:rPr>
        <w:t>区</w:t>
      </w:r>
      <w:r>
        <w:rPr>
          <w:rFonts w:hint="eastAsia"/>
        </w:rPr>
        <w:t>卫健</w:t>
      </w:r>
      <w:r>
        <w:rPr>
          <w:rFonts w:hint="eastAsia"/>
          <w:lang w:eastAsia="zh-CN"/>
        </w:rPr>
        <w:t>局</w:t>
      </w:r>
      <w:r>
        <w:rPr>
          <w:rFonts w:hint="eastAsia"/>
        </w:rPr>
        <w:t>牵头，健康汉</w:t>
      </w:r>
      <w:r>
        <w:rPr>
          <w:rFonts w:hint="eastAsia"/>
          <w:lang w:eastAsia="zh-CN"/>
        </w:rPr>
        <w:t>台</w:t>
      </w:r>
      <w:r>
        <w:rPr>
          <w:rFonts w:hint="eastAsia"/>
        </w:rPr>
        <w:t>建设工作委员会各成员单位分别负责</w:t>
      </w:r>
      <w: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（四）加强宣传引导。</w:t>
      </w:r>
      <w:r>
        <w:t>加强宣传推广、舆论监督、科学引导和典型报道，提高全社会对健康汉</w:t>
      </w:r>
      <w:r>
        <w:rPr>
          <w:rFonts w:hint="eastAsia"/>
          <w:lang w:eastAsia="zh-CN"/>
        </w:rPr>
        <w:t>台</w:t>
      </w:r>
      <w:r>
        <w:t>行动的认识，鼓励个人和家庭落实个人健康责任，营造良好健康文化舆论氛围。在</w:t>
      </w:r>
      <w:r>
        <w:rPr>
          <w:rFonts w:hint="eastAsia"/>
          <w:lang w:eastAsia="zh-CN"/>
        </w:rPr>
        <w:t>城区</w:t>
      </w:r>
      <w:r>
        <w:t>建设一批健康公园、健康长廊和健康步道，开设公益宣传和健康促进栏目，多形式、多渠道、全方位宣传健康汉</w:t>
      </w:r>
      <w:r>
        <w:rPr>
          <w:rFonts w:hint="eastAsia"/>
          <w:lang w:eastAsia="zh-CN"/>
        </w:rPr>
        <w:t>台</w:t>
      </w:r>
      <w:r>
        <w:t>行动，形成“健康汉</w:t>
      </w:r>
      <w:r>
        <w:rPr>
          <w:rFonts w:hint="eastAsia"/>
          <w:lang w:eastAsia="zh-CN"/>
        </w:rPr>
        <w:t>台</w:t>
      </w:r>
      <w:r>
        <w:t>、人人参与、人人受益”的社会共识和良好氛围。（</w:t>
      </w:r>
      <w:r>
        <w:rPr>
          <w:rFonts w:hint="eastAsia"/>
          <w:lang w:eastAsia="zh-CN"/>
        </w:rPr>
        <w:t>区卫健局</w:t>
      </w:r>
      <w:r>
        <w:rPr>
          <w:rFonts w:hint="eastAsia"/>
        </w:rPr>
        <w:t>、</w:t>
      </w:r>
      <w:r>
        <w:rPr>
          <w:rFonts w:hint="eastAsia"/>
          <w:lang w:eastAsia="zh-CN"/>
        </w:rPr>
        <w:t>区</w:t>
      </w:r>
      <w:r>
        <w:rPr>
          <w:rFonts w:hint="eastAsia"/>
        </w:rPr>
        <w:t>委宣传部、</w:t>
      </w:r>
      <w:r>
        <w:rPr>
          <w:rFonts w:hint="eastAsia"/>
          <w:lang w:eastAsia="zh-CN"/>
        </w:rPr>
        <w:t>区</w:t>
      </w:r>
      <w:r>
        <w:rPr>
          <w:rFonts w:hint="eastAsia"/>
        </w:rPr>
        <w:t>文旅局分别负责</w:t>
      </w:r>
      <w: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283" w:usb1="080F0C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72E54B28"/>
    <w:rsid w:val="04A951CF"/>
    <w:rsid w:val="0F9B76EE"/>
    <w:rsid w:val="22D80F13"/>
    <w:rsid w:val="24DD1CB5"/>
    <w:rsid w:val="72E54B28"/>
    <w:rsid w:val="77F5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3040"/>
      </w:tabs>
      <w:ind w:firstLine="420" w:firstLineChars="200"/>
    </w:pPr>
  </w:style>
  <w:style w:type="paragraph" w:styleId="3">
    <w:name w:val="Body Text Indent"/>
    <w:basedOn w:val="1"/>
    <w:qFormat/>
    <w:uiPriority w:val="99"/>
    <w:pPr>
      <w:tabs>
        <w:tab w:val="left" w:pos="3040"/>
      </w:tabs>
      <w:ind w:firstLine="645"/>
    </w:pPr>
    <w:rPr>
      <w:kern w:val="0"/>
      <w:sz w:val="20"/>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26848</Words>
  <Characters>27930</Characters>
  <Lines>0</Lines>
  <Paragraphs>0</Paragraphs>
  <TotalTime>8</TotalTime>
  <ScaleCrop>false</ScaleCrop>
  <LinksUpToDate>false</LinksUpToDate>
  <CharactersWithSpaces>27938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2021-10-20T10:31:00Z</dcterms:created>
  <dc:creator>大型食肉宠物</dc:creator>
  <cp:lastModifiedBy>大型食肉宠物</cp:lastModifiedBy>
  <dcterms:modified xsi:type="dcterms:W3CDTF">2023-05-08T08:07:38Z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C91D2DF8EEDE425C910211118D2E257F_13</vt:lpwstr>
  </property>
</Properties>
</file>