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附件</w:t>
      </w:r>
      <w:r>
        <w:rPr>
          <w:rFonts w:hint="eastAsia"/>
          <w:lang w:val="en-US" w:eastAsia="zh-CN"/>
        </w:rPr>
        <w:t>2</w:t>
      </w:r>
    </w:p>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eastAsia="方正小标宋简体"/>
          <w:sz w:val="44"/>
          <w:szCs w:val="44"/>
        </w:rPr>
      </w:pPr>
      <w:bookmarkStart w:id="0" w:name="_GoBack"/>
      <w:r>
        <w:rPr>
          <w:rFonts w:eastAsia="方正小标宋简体"/>
          <w:sz w:val="44"/>
          <w:szCs w:val="44"/>
        </w:rPr>
        <w:t>健康</w:t>
      </w:r>
      <w:r>
        <w:rPr>
          <w:rFonts w:hint="eastAsia" w:eastAsia="方正小标宋简体"/>
          <w:sz w:val="44"/>
          <w:szCs w:val="44"/>
          <w:lang w:eastAsia="zh-CN"/>
        </w:rPr>
        <w:t>汉台</w:t>
      </w:r>
      <w:r>
        <w:rPr>
          <w:rFonts w:eastAsia="方正小标宋简体"/>
          <w:sz w:val="44"/>
          <w:szCs w:val="44"/>
        </w:rPr>
        <w:t>行动组织实施和考核方案</w:t>
      </w:r>
    </w:p>
    <w:bookmarkEnd w:id="0"/>
    <w:p>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t>为贯彻落实</w:t>
      </w:r>
      <w:r>
        <w:rPr>
          <w:rFonts w:hint="eastAsia"/>
          <w:lang w:val="en-US" w:eastAsia="zh-CN"/>
        </w:rPr>
        <w:t>市</w:t>
      </w:r>
      <w:r>
        <w:t>委</w:t>
      </w:r>
      <w:r>
        <w:rPr>
          <w:rFonts w:hint="eastAsia"/>
          <w:lang w:val="en-US" w:eastAsia="zh-CN"/>
        </w:rPr>
        <w:t>市</w:t>
      </w:r>
      <w:r>
        <w:t>政府《关于推进健康</w:t>
      </w:r>
      <w:r>
        <w:rPr>
          <w:rFonts w:hint="eastAsia"/>
          <w:lang w:val="en-US" w:eastAsia="zh-CN"/>
        </w:rPr>
        <w:t>汉中</w:t>
      </w:r>
      <w:r>
        <w:t>行动的实施意见》（</w:t>
      </w:r>
      <w:r>
        <w:rPr>
          <w:rFonts w:hint="eastAsia"/>
          <w:lang w:val="en-US" w:eastAsia="zh-CN"/>
        </w:rPr>
        <w:t>汉政</w:t>
      </w:r>
      <w:r>
        <w:t>发﹝2020﹞</w:t>
      </w:r>
      <w:r>
        <w:rPr>
          <w:rFonts w:hint="eastAsia"/>
          <w:lang w:val="en-US" w:eastAsia="zh-CN"/>
        </w:rPr>
        <w:t>23</w:t>
      </w:r>
      <w:r>
        <w:t>号）和</w:t>
      </w:r>
      <w:r>
        <w:rPr>
          <w:rFonts w:hint="eastAsia"/>
          <w:lang w:eastAsia="zh-CN"/>
        </w:rPr>
        <w:t>区</w:t>
      </w:r>
      <w:r>
        <w:t>委、</w:t>
      </w:r>
      <w:r>
        <w:rPr>
          <w:rFonts w:hint="eastAsia"/>
          <w:lang w:eastAsia="zh-CN"/>
        </w:rPr>
        <w:t>区</w:t>
      </w:r>
      <w:r>
        <w:t>政府《“健康汉</w:t>
      </w:r>
      <w:r>
        <w:rPr>
          <w:rFonts w:hint="eastAsia"/>
          <w:lang w:eastAsia="zh-CN"/>
        </w:rPr>
        <w:t>台</w:t>
      </w:r>
      <w:r>
        <w:t>2030”规划纲要》精神，完善健康</w:t>
      </w:r>
      <w:r>
        <w:rPr>
          <w:rFonts w:hint="eastAsia"/>
          <w:lang w:eastAsia="zh-CN"/>
        </w:rPr>
        <w:t>汉台</w:t>
      </w:r>
      <w:r>
        <w:t>建设推进协调机制，保障健康汉</w:t>
      </w:r>
      <w:r>
        <w:rPr>
          <w:rFonts w:hint="eastAsia"/>
          <w:lang w:eastAsia="zh-CN"/>
        </w:rPr>
        <w:t>台</w:t>
      </w:r>
      <w:r>
        <w:t>行动有效实施，特制定本方案。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一、建立健全体系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（一）完善领导机制。</w:t>
      </w:r>
      <w:r>
        <w:t>根据工作实际，调整充实健康汉</w:t>
      </w:r>
      <w:r>
        <w:rPr>
          <w:rFonts w:hint="eastAsia"/>
          <w:lang w:eastAsia="zh-CN"/>
        </w:rPr>
        <w:t>台</w:t>
      </w:r>
      <w:r>
        <w:t>建设工作委员会（以下简称委员会）组成人员，完善委员会职责，统筹推进健康汉</w:t>
      </w:r>
      <w:r>
        <w:rPr>
          <w:rFonts w:hint="eastAsia"/>
          <w:lang w:eastAsia="zh-CN"/>
        </w:rPr>
        <w:t>台</w:t>
      </w:r>
      <w:r>
        <w:t>行动的组织实施、监测和考核相关工作。健康汉</w:t>
      </w:r>
      <w:r>
        <w:rPr>
          <w:rFonts w:hint="eastAsia"/>
          <w:lang w:eastAsia="zh-CN"/>
        </w:rPr>
        <w:t>台</w:t>
      </w:r>
      <w:r>
        <w:t>建设工作委员会办公室（以下简称委员会办公室）设在</w:t>
      </w:r>
      <w:r>
        <w:rPr>
          <w:rFonts w:hint="eastAsia"/>
          <w:lang w:eastAsia="zh-CN"/>
        </w:rPr>
        <w:t>区</w:t>
      </w:r>
      <w:r>
        <w:t>卫健</w:t>
      </w:r>
      <w:r>
        <w:rPr>
          <w:rFonts w:hint="eastAsia"/>
          <w:lang w:eastAsia="zh-CN"/>
        </w:rPr>
        <w:t>局</w:t>
      </w:r>
      <w:r>
        <w:t>。委员会设立专家咨询委员会，由委员会聘请相关领域专家组成，负责为健康汉</w:t>
      </w:r>
      <w:r>
        <w:rPr>
          <w:rFonts w:hint="eastAsia"/>
          <w:lang w:eastAsia="zh-CN"/>
        </w:rPr>
        <w:t>台</w:t>
      </w:r>
      <w:r>
        <w:t>行动推进实施提供技术支持。设各专项行动工作组，负责研究制定专项行动方案，确定年度工作重点，开展专项行动的具体实施和监测。推进《健康汉</w:t>
      </w:r>
      <w:r>
        <w:rPr>
          <w:rFonts w:hint="eastAsia"/>
          <w:lang w:eastAsia="zh-CN"/>
        </w:rPr>
        <w:t>台</w:t>
      </w:r>
      <w:r>
        <w:t>行动》实施的相应工作机构，根据《健康汉</w:t>
      </w:r>
      <w:r>
        <w:rPr>
          <w:rFonts w:hint="eastAsia"/>
          <w:lang w:eastAsia="zh-CN"/>
        </w:rPr>
        <w:t>台</w:t>
      </w:r>
      <w:r>
        <w:t>行动》</w:t>
      </w:r>
      <w:r>
        <w:rPr>
          <w:rFonts w:hint="eastAsia"/>
          <w:lang w:eastAsia="zh-CN"/>
        </w:rPr>
        <w:t>结合</w:t>
      </w:r>
      <w:r>
        <w:t>实际情况研究制定具体行动方案并组织实施。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（二）健全工作体制。</w:t>
      </w:r>
      <w:r>
        <w:t>委员会根据工作需要定期或不定期召开会议，包括全体会议、主任办公会议和办公室会议，研究部署行动推进的年度重点任务，协调推动各相关部门工作落实，及时处理重大问题；建立指标体系，并组织监测和考核；深入开展调查研究，适时调整指标、行动内容；运用网站、微信、微博、移动客户端以及短视频等媒体方式，加强健康科普和信息传播。各有关部门要积极研究涉及本部门的相关问题，制定具体政策措施；提出年度任务建议并抓好落实；做好《健康汉</w:t>
      </w:r>
      <w:r>
        <w:rPr>
          <w:rFonts w:hint="eastAsia"/>
          <w:lang w:eastAsia="zh-CN"/>
        </w:rPr>
        <w:t>台</w:t>
      </w:r>
      <w:r>
        <w:t>行动》的宣传解读；认真落实委员会全体会议、专题会议等确定的工作任务和议定事项；互通信息，互相支持，密切配合，形成合力，共同推进健康汉</w:t>
      </w:r>
      <w:r>
        <w:rPr>
          <w:rFonts w:hint="eastAsia"/>
          <w:lang w:eastAsia="zh-CN"/>
        </w:rPr>
        <w:t>台</w:t>
      </w:r>
      <w:r>
        <w:t>建设各项工作。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（三）健全监测体系。</w:t>
      </w:r>
      <w:r>
        <w:t>将健康汉</w:t>
      </w:r>
      <w:r>
        <w:rPr>
          <w:rFonts w:hint="eastAsia"/>
          <w:lang w:eastAsia="zh-CN"/>
        </w:rPr>
        <w:t>台</w:t>
      </w:r>
      <w:r>
        <w:t>行动指标监测评估系统列入“十四五”卫生健康项目规划，加大投入，加快建设，补齐短板，为健康汉</w:t>
      </w:r>
      <w:r>
        <w:rPr>
          <w:rFonts w:hint="eastAsia"/>
          <w:lang w:eastAsia="zh-CN"/>
        </w:rPr>
        <w:t>台</w:t>
      </w:r>
      <w:r>
        <w:t>行动实施和考核提供科学快捷有效的数据支撑和成效评估。按照职责分工，相关部门要对健康汉</w:t>
      </w:r>
      <w:r>
        <w:rPr>
          <w:rFonts w:hint="eastAsia"/>
          <w:lang w:eastAsia="zh-CN"/>
        </w:rPr>
        <w:t>台</w:t>
      </w:r>
      <w:r>
        <w:t>行动主要指标和考核指标底数进行摸底核实调查，搭建健康指标监测评估体系框架。对已有相关渠道来源的数据校准完善，对没有数据来源渠道的，通过监测体系建立数据信息库，完善相关数据来源渠道和路径。由委员会办公室对监测指标体系进行运用和评估，每年底根据监测情况形成报告，改进完善各专项行动，确保取得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二、加强监测评估</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（一）监测主体。</w:t>
      </w:r>
      <w:r>
        <w:t>监测评估工作由委员会统筹领导，委员会办公室具体组织实施，专家咨询委员会提供技术支撑。制定本地区监测评估办法。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（二）监测内容。</w:t>
      </w:r>
      <w:r>
        <w:t>以现有统计数据为基础，完善统计监测体系，对主要指标、重点任务的实施进度进行年度监测。监测主要内容包括：各专项行动主要指标的年度完成情况，专项行动目标实现情况，个人、社会和政府各项任务的落实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（三）结果运用。</w:t>
      </w:r>
      <w:r>
        <w:t>各专项行动工作组根据工作进展和监测情况，每年形成专题报告。委员会办公室根据监测情况，每年形成总体监测评估报告，经委员会同意后上报</w:t>
      </w:r>
      <w:r>
        <w:rPr>
          <w:rFonts w:hint="eastAsia"/>
          <w:lang w:eastAsia="zh-CN"/>
        </w:rPr>
        <w:t>区</w:t>
      </w:r>
      <w:r>
        <w:t>人民政府、并通报各有关部门，适时发布监测评估报告。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三、完善考核制度和指标体系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（一）考核组织。</w:t>
      </w:r>
      <w:r>
        <w:t>考核工作由健康汉</w:t>
      </w:r>
      <w:r>
        <w:rPr>
          <w:rFonts w:hint="eastAsia"/>
          <w:lang w:eastAsia="zh-CN"/>
        </w:rPr>
        <w:t>台</w:t>
      </w:r>
      <w:r>
        <w:t>建设工作委员会全面负责，委员会办公室组织实施，专家咨询委员会提供技术支撑。结合本地区实际，制定考核办法，并细化落实到具体部门和单位。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（二）考核内容。</w:t>
      </w:r>
      <w:r>
        <w:t>围绕健康汉</w:t>
      </w:r>
      <w:r>
        <w:rPr>
          <w:rFonts w:hint="eastAsia"/>
          <w:lang w:eastAsia="zh-CN"/>
        </w:rPr>
        <w:t>台</w:t>
      </w:r>
      <w:r>
        <w:t>建设主要目标任务要求，同时兼顾数据的可获得性，建立相对稳定的考核指标框架。在进行考核时，可根据本地实际情况对考核指标进行调整完善。</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（三）考核要求。</w:t>
      </w:r>
      <w:r>
        <w:t>按照</w:t>
      </w:r>
      <w:r>
        <w:rPr>
          <w:rFonts w:hint="eastAsia"/>
          <w:lang w:eastAsia="zh-CN"/>
        </w:rPr>
        <w:t>省市</w:t>
      </w:r>
      <w:r>
        <w:t>要求，202</w:t>
      </w:r>
      <w:r>
        <w:rPr>
          <w:rFonts w:hint="eastAsia"/>
          <w:lang w:val="en-US" w:eastAsia="zh-CN"/>
        </w:rPr>
        <w:t>1</w:t>
      </w:r>
      <w:r>
        <w:t>年进行试考核，探索实践适宜我</w:t>
      </w:r>
      <w:r>
        <w:rPr>
          <w:rFonts w:hint="eastAsia"/>
          <w:lang w:eastAsia="zh-CN"/>
        </w:rPr>
        <w:t>区</w:t>
      </w:r>
      <w:r>
        <w:t>实际的考核方法，并逐步固定考核指标和方法。要坚持科学规范考核，合理设置考核指标和权重分值，提高考核的针对性和有效性，注意方式方法，力戒形式主义、官僚主义，不增加基层负担。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四、规范考核程序和方法</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（一）自我评查。</w:t>
      </w:r>
      <w:r>
        <w:t>各专项行动工作组根据年度目标任务，组织自查，于当年12月底前将本年度重点任务完成情况自评报告报委员会办公室。</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（二）实地核查。</w:t>
      </w:r>
      <w:r>
        <w:t>委员会组建考核组，对各职能部门目标任务完成情况进行实地考核。</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（三）综合考核。</w:t>
      </w:r>
      <w:r>
        <w:t>考核组根据各部门自评、监测评估体系数据比对及实地核查情况，对主要指标、重点任务完成情况进行综合考核评估，形成书面报告。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（四）确定结果。</w:t>
      </w:r>
      <w:r>
        <w:t>考核结果由委员会办公室初步认定，提出考核等次意见，报委员会审定。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rPr>
      </w:pPr>
      <w:r>
        <w:rPr>
          <w:rFonts w:hint="eastAsia" w:ascii="黑体" w:hAnsi="黑体" w:eastAsia="黑体" w:cs="黑体"/>
        </w:rPr>
        <w:t>五、加强组织保障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（一）加强领导。</w:t>
      </w:r>
      <w:r>
        <w:t>各部门要高度重视健康汉</w:t>
      </w:r>
      <w:r>
        <w:rPr>
          <w:rFonts w:hint="eastAsia"/>
          <w:lang w:eastAsia="zh-CN"/>
        </w:rPr>
        <w:t>台</w:t>
      </w:r>
      <w:r>
        <w:t>行动考核工作，将其作为部门工作的重要内容，作为健康汉</w:t>
      </w:r>
      <w:r>
        <w:rPr>
          <w:rFonts w:hint="eastAsia"/>
          <w:lang w:eastAsia="zh-CN"/>
        </w:rPr>
        <w:t>台</w:t>
      </w:r>
      <w:r>
        <w:t>建设的重要载体，纳入年度工作计划，明确责任分工，细化工作任务，提供必要的经费保障，积极推动行动开展，确保考核指标目标值得到落实。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hint="eastAsia" w:ascii="楷体_GB2312" w:hAnsi="楷体_GB2312" w:eastAsia="楷体_GB2312" w:cs="楷体_GB2312"/>
        </w:rPr>
        <w:t>（二）完善考核方式。</w:t>
      </w:r>
      <w:r>
        <w:t>坚持年终考核和平时督查相结合。依托信息化建设，定期对主要指标和重点任务完成情况进行分析评估。注重发挥社会中介评估组织作用，必要时引入第三方评估和社会评价，提高考核公信力。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ascii="楷体_GB2312" w:hAnsi="楷体_GB2312" w:eastAsia="楷体_GB2312" w:cs="楷体_GB2312"/>
        </w:rPr>
        <w:t>（三）加强过程监督。</w:t>
      </w:r>
      <w:r>
        <w:t>增强考核透明度，确保考核工作的公正性。考核方案和考核结果要主动及时公开，接受社会监督。要严肃考核纪律，坚决查处考核评估工作中发生的违纪行为，严肃追究相关人员的责任。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健康汉</w:t>
      </w:r>
      <w:r>
        <w:rPr>
          <w:rFonts w:hint="eastAsia" w:ascii="方正小标宋简体" w:hAnsi="方正小标宋简体" w:eastAsia="方正小标宋简体" w:cs="方正小标宋简体"/>
          <w:sz w:val="36"/>
          <w:szCs w:val="36"/>
          <w:lang w:eastAsia="zh-CN"/>
        </w:rPr>
        <w:t>台</w:t>
      </w:r>
      <w:r>
        <w:rPr>
          <w:rFonts w:hint="eastAsia" w:ascii="方正小标宋简体" w:hAnsi="方正小标宋简体" w:eastAsia="方正小标宋简体" w:cs="方正小标宋简体"/>
          <w:sz w:val="36"/>
          <w:szCs w:val="36"/>
        </w:rPr>
        <w:t>行动考核指标</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6"/>
        <w:gridCol w:w="630"/>
        <w:gridCol w:w="4652"/>
        <w:gridCol w:w="1090"/>
        <w:gridCol w:w="1138"/>
        <w:gridCol w:w="10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726"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考核依据</w:t>
            </w: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指</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陕西基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期水平</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2018年</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w:t>
            </w:r>
            <w:r>
              <w:rPr>
                <w:rFonts w:hint="eastAsia" w:ascii="仿宋_GB2312" w:hAnsi="仿宋_GB2312" w:eastAsia="仿宋_GB2312" w:cs="仿宋_GB2312"/>
                <w:sz w:val="24"/>
                <w:szCs w:val="24"/>
                <w:lang w:eastAsia="zh-CN"/>
              </w:rPr>
              <w:t>台</w:t>
            </w:r>
            <w:r>
              <w:rPr>
                <w:rFonts w:hint="eastAsia" w:ascii="仿宋_GB2312" w:hAnsi="仿宋_GB2312" w:eastAsia="仿宋_GB2312" w:cs="仿宋_GB2312"/>
                <w:sz w:val="24"/>
                <w:szCs w:val="24"/>
              </w:rPr>
              <w:t>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期水平</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2018年</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汉</w:t>
            </w:r>
            <w:r>
              <w:rPr>
                <w:rFonts w:hint="eastAsia" w:ascii="仿宋_GB2312" w:hAnsi="仿宋_GB2312" w:eastAsia="仿宋_GB2312" w:cs="仿宋_GB2312"/>
                <w:sz w:val="24"/>
                <w:szCs w:val="24"/>
                <w:lang w:eastAsia="zh-CN"/>
              </w:rPr>
              <w:t>台</w:t>
            </w:r>
            <w:r>
              <w:rPr>
                <w:rFonts w:hint="eastAsia" w:ascii="仿宋_GB2312" w:hAnsi="仿宋_GB2312" w:eastAsia="仿宋_GB2312" w:cs="仿宋_GB2312"/>
                <w:sz w:val="24"/>
                <w:szCs w:val="24"/>
              </w:rPr>
              <w:t>考核</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目标值</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2022年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《“健康汉</w:t>
            </w:r>
            <w:r>
              <w:rPr>
                <w:rFonts w:hint="eastAsia" w:ascii="仿宋_GB2312" w:hAnsi="仿宋_GB2312" w:eastAsia="仿宋_GB2312" w:cs="仿宋_GB2312"/>
                <w:sz w:val="24"/>
                <w:szCs w:val="24"/>
                <w:lang w:eastAsia="zh-CN"/>
              </w:rPr>
              <w:t>台</w:t>
            </w:r>
            <w:r>
              <w:rPr>
                <w:rFonts w:hint="eastAsia" w:ascii="仿宋_GB2312" w:hAnsi="仿宋_GB2312" w:eastAsia="仿宋_GB2312" w:cs="仿宋_GB2312"/>
                <w:sz w:val="24"/>
                <w:szCs w:val="24"/>
              </w:rPr>
              <w:t>2030”规划纲要》</w:t>
            </w: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人均预期寿命（岁）</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76.5</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（201</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77.7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婴儿死亡率（‰）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2.96</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44</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5岁以下儿童死亡率（‰）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4.9</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val="en-US" w:eastAsia="zh-CN"/>
              </w:rPr>
              <w:t>86</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孕产妇死亡率（1/10万）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7.3</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5"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居民达到《国民体质测定标准》合格以上的人数比例（%）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35"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居民健康素养水平（%）</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17.27</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10"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经常参加体育锻炼人数比例（%）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34.65</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重大慢性病过早死亡率（%）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18.87（2017）</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auto"/>
              </w:rPr>
              <w:t>13.57</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pacing w:val="-8"/>
                <w:w w:val="94"/>
                <w:sz w:val="24"/>
                <w:szCs w:val="24"/>
              </w:rPr>
            </w:pPr>
            <w:r>
              <w:rPr>
                <w:rFonts w:hint="eastAsia" w:ascii="仿宋_GB2312" w:hAnsi="仿宋_GB2312" w:eastAsia="仿宋_GB2312" w:cs="仿宋_GB2312"/>
                <w:spacing w:val="-8"/>
                <w:w w:val="94"/>
                <w:sz w:val="24"/>
                <w:szCs w:val="24"/>
              </w:rPr>
              <w:t>每千常住人口执业（助理）医师数（人）</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shd w:val="clear" w:color="auto" w:fill="auto"/>
                <w:lang w:val="en-US" w:eastAsia="zh-CN"/>
              </w:rPr>
            </w:pPr>
            <w:r>
              <w:rPr>
                <w:rFonts w:hint="eastAsia" w:ascii="仿宋_GB2312" w:hAnsi="仿宋_GB2312" w:eastAsia="仿宋_GB2312" w:cs="仿宋_GB2312"/>
                <w:sz w:val="24"/>
                <w:szCs w:val="24"/>
                <w:shd w:val="clear" w:color="auto" w:fill="auto"/>
                <w:lang w:val="en-US" w:eastAsia="zh-CN"/>
              </w:rPr>
              <w:t>4.4</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8"/>
                <w:w w:val="94"/>
                <w:sz w:val="24"/>
                <w:szCs w:val="24"/>
              </w:rPr>
              <w:t>个人卫生支出占卫生总费用的比重（%）</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32.8</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restart"/>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《健康汉</w:t>
            </w:r>
            <w:r>
              <w:rPr>
                <w:rFonts w:hint="eastAsia" w:ascii="仿宋_GB2312" w:hAnsi="仿宋_GB2312" w:eastAsia="仿宋_GB2312" w:cs="仿宋_GB2312"/>
                <w:kern w:val="0"/>
                <w:sz w:val="24"/>
                <w:szCs w:val="24"/>
                <w:lang w:eastAsia="zh-CN" w:bidi="ar"/>
              </w:rPr>
              <w:t>台</w:t>
            </w:r>
            <w:r>
              <w:rPr>
                <w:rFonts w:hint="eastAsia" w:ascii="仿宋_GB2312" w:hAnsi="仿宋_GB2312" w:eastAsia="仿宋_GB2312" w:cs="仿宋_GB2312"/>
                <w:kern w:val="0"/>
                <w:sz w:val="24"/>
                <w:szCs w:val="24"/>
                <w:lang w:bidi="ar"/>
              </w:rPr>
              <w:t>行动》和相关规划文件</w:t>
            </w: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建立并完善健康科普专家库和资源库，构建健康科普知识发布和传播机制</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20"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12</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建立医疗机构和医务人员开展健康教育和健康促进的绩效考核机制</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实现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13</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产前筛查率（%）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sz w:val="24"/>
              </w:rPr>
            </w:pPr>
            <w:r>
              <w:rPr>
                <w:rFonts w:hint="eastAsia"/>
                <w:sz w:val="24"/>
                <w:lang w:val="en-US" w:eastAsia="zh-CN"/>
              </w:rPr>
              <w:t>100.02</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14</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新生儿遗传代谢性疾病筛查率（%）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sz w:val="24"/>
              </w:rPr>
            </w:pPr>
            <w:r>
              <w:rPr>
                <w:rFonts w:hint="eastAsia"/>
                <w:sz w:val="24"/>
                <w:lang w:val="en-US" w:eastAsia="zh-CN"/>
              </w:rPr>
              <w:t>95.06</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≥98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15</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农村适龄妇女宫颈癌和乳腺癌筛查覆盖率（%）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宫颈癌</w:t>
            </w:r>
          </w:p>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46.2乳</w:t>
            </w:r>
          </w:p>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腺癌16</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center"/>
              <w:rPr>
                <w:sz w:val="24"/>
              </w:rPr>
            </w:pPr>
            <w:r>
              <w:rPr>
                <w:spacing w:val="-23"/>
                <w:kern w:val="0"/>
                <w:sz w:val="21"/>
                <w:szCs w:val="21"/>
                <w:lang w:bidi="ar"/>
              </w:rPr>
              <w:t>宫颈癌2</w:t>
            </w:r>
            <w:r>
              <w:rPr>
                <w:rFonts w:hint="eastAsia"/>
                <w:spacing w:val="-23"/>
                <w:kern w:val="0"/>
                <w:sz w:val="21"/>
                <w:szCs w:val="21"/>
                <w:lang w:val="en-US" w:eastAsia="zh-CN" w:bidi="ar"/>
              </w:rPr>
              <w:t>7.94</w:t>
            </w:r>
            <w:r>
              <w:rPr>
                <w:spacing w:val="-23"/>
                <w:kern w:val="0"/>
                <w:sz w:val="21"/>
                <w:szCs w:val="21"/>
                <w:lang w:bidi="ar"/>
              </w:rPr>
              <w:t>,</w:t>
            </w:r>
            <w:r>
              <w:rPr>
                <w:spacing w:val="-19"/>
                <w:kern w:val="0"/>
                <w:sz w:val="21"/>
                <w:szCs w:val="21"/>
                <w:lang w:bidi="ar"/>
              </w:rPr>
              <w:t>乳腺癌</w:t>
            </w:r>
            <w:r>
              <w:rPr>
                <w:rFonts w:hint="eastAsia"/>
                <w:spacing w:val="-19"/>
                <w:kern w:val="0"/>
                <w:sz w:val="21"/>
                <w:szCs w:val="21"/>
                <w:lang w:val="en-US" w:eastAsia="zh-CN" w:bidi="ar"/>
              </w:rPr>
              <w:t>24.21</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16</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国家学生体质健康标准达标优良率（%）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16.5</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shd w:val="clear" w:color="auto" w:fill="auto"/>
              </w:rPr>
            </w:pPr>
            <w:r>
              <w:rPr>
                <w:sz w:val="24"/>
                <w:shd w:val="clear" w:color="auto" w:fill="auto"/>
              </w:rPr>
              <w:t>18</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17</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符合要求的中小学体育与健康课程开课率</w:t>
            </w:r>
            <w:r>
              <w:rPr>
                <w:spacing w:val="-8"/>
                <w:sz w:val="24"/>
              </w:rPr>
              <w:t>（%）</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shd w:val="clear" w:color="auto" w:fill="auto"/>
              </w:rPr>
            </w:pPr>
            <w:r>
              <w:rPr>
                <w:sz w:val="24"/>
                <w:shd w:val="clear" w:color="auto" w:fill="auto"/>
              </w:rPr>
              <w:t>100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0"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18</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中小学生每天校内体育活动时间（小时）</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shd w:val="clear" w:color="auto" w:fill="auto"/>
              </w:rPr>
            </w:pPr>
            <w:r>
              <w:rPr>
                <w:sz w:val="24"/>
                <w:shd w:val="clear" w:color="auto" w:fill="auto"/>
              </w:rPr>
              <w:t>1</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19</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寄宿制中小学校或600名学生以上的非寄宿制中小学校配备专职卫生专业技术人员、600名学生以下的非寄宿制中小学校配备专兼职保健教师或卫生专业技术人员的比例（%）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shd w:val="clear" w:color="auto" w:fill="auto"/>
              </w:rPr>
            </w:pPr>
            <w:r>
              <w:rPr>
                <w:sz w:val="24"/>
                <w:shd w:val="clear" w:color="auto" w:fill="auto"/>
              </w:rPr>
              <w:t>38</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20</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配备专兼职心理健康工作人员的中小学校比例（%）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shd w:val="clear" w:color="auto" w:fill="auto"/>
              </w:rPr>
            </w:pPr>
            <w:r>
              <w:rPr>
                <w:sz w:val="24"/>
                <w:shd w:val="clear" w:color="auto" w:fill="auto"/>
              </w:rPr>
              <w:t>60</w:t>
            </w: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21</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pacing w:val="-8"/>
                <w:sz w:val="24"/>
              </w:rPr>
            </w:pPr>
            <w:r>
              <w:rPr>
                <w:spacing w:val="-8"/>
                <w:sz w:val="24"/>
              </w:rPr>
              <w:t>接尘工龄不足5年的劳动者新发尘肺病报告例数占年度报告总例数比例（%）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下降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22</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color w:val="FF0000"/>
                <w:sz w:val="24"/>
              </w:rPr>
            </w:pPr>
            <w:r>
              <w:rPr>
                <w:kern w:val="0"/>
                <w:sz w:val="24"/>
              </w:rPr>
              <w:t>老年健康核心信息知晓率（%）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pacing w:val="-20"/>
                <w:sz w:val="24"/>
              </w:rPr>
            </w:pPr>
            <w:r>
              <w:rPr>
                <w:spacing w:val="-20"/>
                <w:kern w:val="0"/>
                <w:sz w:val="24"/>
              </w:rPr>
              <w:t>明显提升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23</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高血压患者规范管理率（%）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24</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糖尿病患者规范管理率（%）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≥60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25</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pacing w:val="-4"/>
                <w:sz w:val="24"/>
              </w:rPr>
            </w:pPr>
            <w:r>
              <w:rPr>
                <w:spacing w:val="-4"/>
                <w:sz w:val="24"/>
              </w:rPr>
              <w:t>乡镇卫生院、社区卫生服务中心提供中医非药物疗法的比例（%），村卫生室提供中医非药物疗法的比例（%）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100；70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8"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26</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以镇、街道为单位适龄儿童免疫规划疫苗接种率（%）</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95</w:t>
            </w: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3"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27</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r>
              <w:rPr>
                <w:sz w:val="24"/>
              </w:rPr>
              <w:t>各牵头部门、各地组织推进健康细胞示范建设</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pacing w:val="-16"/>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pacing w:val="-16"/>
                <w:sz w:val="24"/>
              </w:rPr>
            </w:pPr>
            <w:r>
              <w:rPr>
                <w:spacing w:val="-16"/>
                <w:sz w:val="24"/>
              </w:rPr>
              <w:t>建设率</w:t>
            </w:r>
          </w:p>
          <w:p>
            <w:pPr>
              <w:keepNext w:val="0"/>
              <w:keepLines w:val="0"/>
              <w:pageBreakBefore w:val="0"/>
              <w:widowControl w:val="0"/>
              <w:kinsoku/>
              <w:wordWrap/>
              <w:overflowPunct/>
              <w:topLinePunct w:val="0"/>
              <w:autoSpaceDE/>
              <w:autoSpaceDN/>
              <w:bidi w:val="0"/>
              <w:adjustRightInd/>
              <w:snapToGrid/>
              <w:spacing w:line="300" w:lineRule="exact"/>
              <w:jc w:val="center"/>
              <w:rPr>
                <w:spacing w:val="-16"/>
                <w:sz w:val="24"/>
              </w:rPr>
            </w:pPr>
            <w:r>
              <w:rPr>
                <w:spacing w:val="-16"/>
                <w:sz w:val="24"/>
              </w:rPr>
              <w:t>明显提升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83"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28</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pacing w:val="-20"/>
              </w:rPr>
            </w:pPr>
            <w:r>
              <w:rPr>
                <w:spacing w:val="-20"/>
                <w:sz w:val="24"/>
              </w:rPr>
              <w:t>二级以上综合性医院设老年医学科比例（%）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8"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29</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sz w:val="24"/>
              </w:rPr>
            </w:pPr>
            <w:r>
              <w:rPr>
                <w:kern w:val="0"/>
                <w:sz w:val="24"/>
              </w:rPr>
              <w:t>养老机构以不同形式为入住老年人提供医疗卫生服务比例（%）</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r>
              <w:rPr>
                <w:rFonts w:eastAsia="方正书宋简体"/>
                <w:kern w:val="0"/>
                <w:sz w:val="24"/>
              </w:rPr>
              <w:t>100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87" w:hRule="atLeast"/>
          <w:jc w:val="center"/>
        </w:trPr>
        <w:tc>
          <w:tcPr>
            <w:tcW w:w="726" w:type="dxa"/>
            <w:vMerge w:val="continue"/>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rPr>
                <w:sz w:val="24"/>
              </w:rPr>
            </w:pPr>
          </w:p>
        </w:tc>
        <w:tc>
          <w:tcPr>
            <w:tcW w:w="63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rPr>
                <w:sz w:val="24"/>
              </w:rPr>
            </w:pPr>
            <w:r>
              <w:rPr>
                <w:sz w:val="24"/>
              </w:rPr>
              <w:t>30</w:t>
            </w:r>
          </w:p>
        </w:tc>
        <w:tc>
          <w:tcPr>
            <w:tcW w:w="4652"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center"/>
              <w:rPr>
                <w:color w:val="FF0000"/>
                <w:sz w:val="24"/>
              </w:rPr>
            </w:pPr>
            <w:r>
              <w:rPr>
                <w:rFonts w:hAnsi="宋体"/>
                <w:sz w:val="24"/>
              </w:rPr>
              <w:t>每百名老人有护理型床位（张）</w:t>
            </w:r>
          </w:p>
        </w:tc>
        <w:tc>
          <w:tcPr>
            <w:tcW w:w="1090"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p>
        </w:tc>
        <w:tc>
          <w:tcPr>
            <w:tcW w:w="1138" w:type="dxa"/>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p>
        </w:tc>
        <w:tc>
          <w:tcPr>
            <w:tcW w:w="10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center"/>
              <w:rPr>
                <w:rFonts w:eastAsia="方正书宋简体"/>
                <w:sz w:val="24"/>
              </w:rPr>
            </w:pPr>
            <w:r>
              <w:rPr>
                <w:sz w:val="24"/>
              </w:rPr>
              <w:t>≥</w:t>
            </w:r>
            <w:r>
              <w:rPr>
                <w:rFonts w:eastAsia="方正书宋简体"/>
                <w:sz w:val="24"/>
              </w:rPr>
              <w:t>2.5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22320"/>
    <w:rsid w:val="04A951CF"/>
    <w:rsid w:val="0F9B76EE"/>
    <w:rsid w:val="27C22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3040"/>
      </w:tabs>
      <w:ind w:firstLine="420" w:firstLineChars="200"/>
    </w:pPr>
  </w:style>
  <w:style w:type="paragraph" w:styleId="3">
    <w:name w:val="Body Text Indent"/>
    <w:basedOn w:val="1"/>
    <w:qFormat/>
    <w:uiPriority w:val="99"/>
    <w:pPr>
      <w:tabs>
        <w:tab w:val="left" w:pos="3040"/>
      </w:tabs>
      <w:ind w:firstLine="645"/>
    </w:pPr>
    <w:rPr>
      <w:kern w:val="0"/>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2021-10-20T10:32:00Z</dcterms:created>
  <dc:creator>大型食肉宠物</dc:creator>
  <cp:lastModifiedBy>大型食肉宠物</cp:lastModifiedBy>
  <dcterms:modified xsi:type="dcterms:W3CDTF">2021-10-20T10:32:32Z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37F5EDB987E0432E97B18B4ABE374C01</vt:lpwstr>
  </property>
</Properties>
</file>