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  <w:r>
        <w:rPr>
          <w:rFonts w:hint="default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汉台区农村生活垃圾收运处置体系建设任务分解表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2021—2025年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tbl>
      <w:tblPr>
        <w:tblStyle w:val="3"/>
        <w:tblW w:w="13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20"/>
        <w:gridCol w:w="996"/>
        <w:gridCol w:w="1116"/>
        <w:gridCol w:w="1116"/>
        <w:gridCol w:w="1116"/>
        <w:gridCol w:w="1116"/>
        <w:gridCol w:w="1173"/>
        <w:gridCol w:w="1173"/>
        <w:gridCol w:w="1173"/>
        <w:gridCol w:w="1173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自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然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农村生活垃圾收运处理的自然村比例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（单位%，计算方法：进行收运处理自然村数÷自然村数）</w:t>
            </w:r>
          </w:p>
        </w:tc>
        <w:tc>
          <w:tcPr>
            <w:tcW w:w="5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其中达到无害化处理标准的自然村比例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（单位%，计算方法：达无害化处理标准自然村数÷自然村数）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宗营镇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汉王镇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徐望镇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鑫源街道办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武乡镇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七里街道办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龙江街道办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老君镇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河东店镇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/>
    <w:p/>
    <w:sectPr>
      <w:pgSz w:w="16838" w:h="11906" w:orient="landscape"/>
      <w:pgMar w:top="1463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651E08BE"/>
    <w:rsid w:val="651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2023-01-10T01:49:00Z</dcterms:created>
  <dc:creator>大型食肉宠物</dc:creator>
  <cp:lastModifiedBy>大型食肉宠物</cp:lastModifiedBy>
  <dcterms:modified xsi:type="dcterms:W3CDTF">2023-01-10T01:49:50Z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4389D3B781284252B86B457556DB95CD</vt:lpwstr>
  </property>
</Properties>
</file>