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eastAsia="zh-CN"/>
        </w:rPr>
        <w:t>附件</w:t>
      </w: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—1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促进城乡居民增收重点任务清单</w:t>
      </w:r>
    </w:p>
    <w:bookmarkEnd w:id="0"/>
    <w:tbl>
      <w:tblPr>
        <w:tblStyle w:val="4"/>
        <w:tblW w:w="135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3"/>
        <w:gridCol w:w="2518"/>
        <w:gridCol w:w="6451"/>
        <w:gridCol w:w="3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tblHeader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6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年度目标</w:t>
            </w:r>
          </w:p>
        </w:tc>
        <w:tc>
          <w:tcPr>
            <w:tcW w:w="3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牵头单位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tblHeader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就业促进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全年吸纳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1600</w:t>
            </w:r>
            <w:r>
              <w:rPr>
                <w:rFonts w:hint="default"/>
                <w:sz w:val="21"/>
                <w:szCs w:val="21"/>
                <w:lang w:eastAsia="zh-CN"/>
              </w:rPr>
              <w:t>名大学生在汉就业，其中事业单位招聘4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/>
                <w:sz w:val="21"/>
                <w:szCs w:val="21"/>
                <w:lang w:eastAsia="zh-CN"/>
              </w:rPr>
              <w:t>人。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6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全年农村劳动力转移就业65000人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6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开展职业技能培训2600人次。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6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举办线上线下招聘会12场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6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扶持创业实体300个。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</w:p>
        </w:tc>
        <w:tc>
          <w:tcPr>
            <w:tcW w:w="6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培育规上工业企业4户。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区经贸</w:t>
            </w:r>
            <w:r>
              <w:rPr>
                <w:rFonts w:hint="default"/>
                <w:sz w:val="21"/>
                <w:szCs w:val="21"/>
                <w:lang w:eastAsia="zh-CN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就业促进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持续壮大市场主体，提高就业岗位容量、促进更好就业。全年新增市场主体新增10895户。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工资性收入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在农业农村基础设施建设领域，大力推广以工代赈方式，着力带动农村劳动力增收。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全区</w:t>
            </w:r>
            <w:r>
              <w:rPr>
                <w:rFonts w:hint="default"/>
                <w:sz w:val="21"/>
                <w:szCs w:val="21"/>
                <w:lang w:eastAsia="zh-CN"/>
              </w:rPr>
              <w:t>累计完成财政投资11128万元，发放劳务报酬不低于10%。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发改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积极做好“汉家妹子”等家政服务品牌推广，促进品牌走出汉中、推向全国。稳定现有家政从业人员队伍，做好业务技能培训，吸纳新的就业人员，促进城乡居民增收。累计动员家政企业培训从业人员5000人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经营性收入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积极推广稻渔综合种养，助力农民增产增收。全</w:t>
            </w:r>
            <w:r>
              <w:rPr>
                <w:rFonts w:hint="eastAsia"/>
                <w:sz w:val="21"/>
                <w:szCs w:val="21"/>
                <w:lang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稻渔综合种养总面积达到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/>
                <w:sz w:val="21"/>
                <w:szCs w:val="21"/>
                <w:lang w:eastAsia="zh-CN"/>
              </w:rPr>
              <w:t>00亩。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经营性收入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全年</w:t>
            </w:r>
            <w:r>
              <w:rPr>
                <w:rFonts w:hint="default"/>
                <w:sz w:val="21"/>
                <w:szCs w:val="21"/>
                <w:lang w:eastAsia="zh-CN"/>
              </w:rPr>
              <w:t>林业产值达到17.26亿元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1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5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集体年收入10万元以下的村全部清零。新培育经营主体35家。有序推进承包土地流转，规范土地流转行为，保障农民权益。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财产性收入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完成房屋交易系统与不动产、税务系统数据匹配挂接治理率达80%，推进存量房交易系统中介机构入网注册4家，存量房交易端口延伸4家。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9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转移性收入</w:t>
            </w: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全年</w:t>
            </w:r>
            <w:r>
              <w:rPr>
                <w:rFonts w:hint="default"/>
                <w:sz w:val="21"/>
                <w:szCs w:val="21"/>
                <w:lang w:eastAsia="zh-CN"/>
              </w:rPr>
              <w:t>发放保障金6420万元。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6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强化低收入群体监测及预警，抓好脱贫人口及“三类人员”防返贫动态监测，防止困难群众收入大幅下滑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default"/>
                <w:sz w:val="21"/>
                <w:szCs w:val="21"/>
                <w:lang w:eastAsia="zh-CN"/>
              </w:rPr>
              <w:t>牢牢守住不发生规模性返贫底线。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sz w:val="21"/>
                <w:szCs w:val="21"/>
                <w:lang w:eastAsia="zh-CN"/>
              </w:rPr>
              <w:t>乡村振兴局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6EFE135E"/>
    <w:rsid w:val="04A951CF"/>
    <w:rsid w:val="0F9B76EE"/>
    <w:rsid w:val="6E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2022-06-24T08:40:00Z</dcterms:created>
  <dc:creator>大型食肉宠物</dc:creator>
  <cp:lastModifiedBy>大型食肉宠物</cp:lastModifiedBy>
  <dcterms:modified xsi:type="dcterms:W3CDTF">2022-06-24T08:41:16Z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B2586A51066846609A467D6AFC9472A4</vt:lpwstr>
  </property>
</Properties>
</file>