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0"/>
        <w:jc w:val="left"/>
        <w:rPr>
          <w:rFonts w:ascii="仿宋_GB2312"/>
        </w:rPr>
      </w:pPr>
      <w:r>
        <w:rPr>
          <w:rFonts w:hint="eastAsia" w:ascii="仿宋_GB2312"/>
          <w:w w:val="105"/>
        </w:rPr>
        <w:t>附件1</w:t>
      </w:r>
    </w:p>
    <w:p>
      <w:pPr>
        <w:pStyle w:val="2"/>
        <w:spacing w:line="460" w:lineRule="exact"/>
        <w:jc w:val="center"/>
        <w:rPr>
          <w:rFonts w:ascii="方正小标宋简体" w:eastAsia="方正小标宋简体"/>
          <w:w w:val="90"/>
          <w:position w:val="1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105"/>
          <w:sz w:val="44"/>
          <w:szCs w:val="44"/>
        </w:rPr>
        <w:t>汉台区耕地“非粮化“基本情况调查表</w:t>
      </w:r>
    </w:p>
    <w:bookmarkEnd w:id="0"/>
    <w:p>
      <w:pPr>
        <w:pStyle w:val="2"/>
        <w:spacing w:line="160" w:lineRule="exact"/>
        <w:rPr>
          <w:w w:val="90"/>
          <w:position w:val="1"/>
          <w:sz w:val="28"/>
        </w:rPr>
      </w:pPr>
    </w:p>
    <w:p>
      <w:pPr>
        <w:pStyle w:val="2"/>
        <w:spacing w:line="400" w:lineRule="exact"/>
        <w:rPr>
          <w:rFonts w:ascii="仿宋" w:hAnsi="仿宋" w:eastAsia="仿宋" w:cs="仿宋"/>
          <w:w w:val="95"/>
          <w:sz w:val="28"/>
          <w:szCs w:val="28"/>
        </w:rPr>
      </w:pPr>
      <w:r>
        <w:rPr>
          <w:rFonts w:hint="eastAsia"/>
          <w:w w:val="90"/>
          <w:position w:val="1"/>
          <w:sz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w w:val="90"/>
          <w:position w:val="1"/>
          <w:sz w:val="28"/>
          <w:szCs w:val="28"/>
        </w:rPr>
        <w:t xml:space="preserve">镇办（盖章）           联系人：         </w:t>
      </w:r>
      <w:r>
        <w:rPr>
          <w:rFonts w:hint="eastAsia" w:ascii="仿宋" w:hAnsi="仿宋" w:eastAsia="仿宋" w:cs="仿宋"/>
          <w:w w:val="95"/>
          <w:sz w:val="28"/>
          <w:szCs w:val="28"/>
        </w:rPr>
        <w:t>联系电话：</w:t>
      </w:r>
    </w:p>
    <w:tbl>
      <w:tblPr>
        <w:tblStyle w:val="4"/>
        <w:tblpPr w:leftFromText="180" w:rightFromText="180" w:vertAnchor="text" w:horzAnchor="margin" w:tblpY="318"/>
        <w:tblOverlap w:val="never"/>
        <w:tblW w:w="8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6"/>
        <w:gridCol w:w="5167"/>
        <w:gridCol w:w="72"/>
        <w:gridCol w:w="817"/>
        <w:gridCol w:w="899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51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规模</w:t>
            </w:r>
          </w:p>
        </w:tc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38" w:type="dxa"/>
            <w:gridSpan w:val="7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一、总体情况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173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耕地面积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5173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永久基本农田面积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5173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农作物播种面积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5173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粮食播种面积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5173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永久基本农田中“非粮化“面积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5173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粮食功能区中“非粮化”面积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38" w:type="dxa"/>
            <w:gridSpan w:val="7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二、具体情况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38" w:type="dxa"/>
            <w:gridSpan w:val="7"/>
            <w:vAlign w:val="center"/>
          </w:tcPr>
          <w:p>
            <w:pPr>
              <w:spacing w:line="280" w:lineRule="exact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</w:rPr>
              <w:t>（一）“非粮化”时间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2019 年 12 月 31 日前“非 粮化” 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2020年 1月 1日到 2020年 12月 31日“非粮化”面积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2021 年 1 月 1 日后“非 粮化” 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38" w:type="dxa"/>
            <w:gridSpan w:val="7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</w:rPr>
              <w:t>（二）“非粮化”类型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发展果业面积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其中：非优生区面积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发展种苗面积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发展养殖业面积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发展设施农业面积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挖塘养殖业面积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其他类型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38" w:type="dxa"/>
            <w:gridSpan w:val="7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</w:rPr>
              <w:t>（三）“非粮化”主体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承包户“非粮化”面积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工商大户流转“非粮化”面积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农村集体经济组织“非粮化”面积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亩</w:t>
            </w: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38" w:type="dxa"/>
            <w:gridSpan w:val="7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sz w:val="24"/>
                <w:szCs w:val="24"/>
              </w:rPr>
              <w:t>（四）“非粮化”原因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5245" w:type="dxa"/>
            <w:gridSpan w:val="3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</w:p>
        </w:tc>
        <w:tc>
          <w:tcPr>
            <w:tcW w:w="5245" w:type="dxa"/>
            <w:gridSpan w:val="3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9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注：对“非粮化”原因，请分类说明具体原因及规模。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1224"/>
    <w:rsid w:val="04A951CF"/>
    <w:rsid w:val="0F9B76EE"/>
    <w:rsid w:val="3FD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2021-05-25T09:13:00Z</dcterms:created>
  <dc:creator>大型食肉宠物</dc:creator>
  <cp:lastModifiedBy>大型食肉宠物</cp:lastModifiedBy>
  <dcterms:modified xsi:type="dcterms:W3CDTF">2021-05-25T09:16:20Z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