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2" w:lineRule="auto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-17"/>
          <w:sz w:val="31"/>
          <w:szCs w:val="31"/>
          <w:lang w:eastAsia="zh-CN"/>
        </w:rPr>
        <w:t>　　　</w:t>
      </w:r>
      <w:r>
        <w:rPr>
          <w:rFonts w:ascii="黑体" w:hAnsi="黑体" w:eastAsia="黑体" w:cs="黑体"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16"/>
          <w:sz w:val="31"/>
          <w:szCs w:val="31"/>
        </w:rPr>
        <w:t>件 3：</w:t>
      </w:r>
    </w:p>
    <w:p>
      <w:pPr>
        <w:spacing w:before="1" w:line="214" w:lineRule="auto"/>
        <w:ind w:right="163"/>
        <w:jc w:val="right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6"/>
          <w:sz w:val="43"/>
          <w:szCs w:val="43"/>
        </w:rPr>
        <w:t>2022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年度汉中市医疗保险定点零售药店履行服务协议考核评分表</w:t>
      </w:r>
    </w:p>
    <w:bookmarkEnd w:id="0"/>
    <w:p>
      <w:pPr>
        <w:spacing w:before="48" w:line="217" w:lineRule="auto"/>
        <w:jc w:val="right"/>
        <w:rPr>
          <w:rFonts w:ascii="楷体" w:hAnsi="楷体" w:eastAsia="楷体" w:cs="楷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17780</wp:posOffset>
                </wp:positionV>
                <wp:extent cx="2463800" cy="23495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17" w:lineRule="auto"/>
                              <w:ind w:left="20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-10"/>
                                <w:sz w:val="28"/>
                                <w:szCs w:val="28"/>
                              </w:rPr>
                              <w:t>定</w:t>
                            </w:r>
                            <w:r>
                              <w:rPr>
                                <w:rFonts w:ascii="楷体" w:hAnsi="楷体" w:eastAsia="楷体" w:cs="楷体"/>
                                <w:spacing w:val="-6"/>
                                <w:sz w:val="28"/>
                                <w:szCs w:val="28"/>
                              </w:rPr>
                              <w:t>点</w:t>
                            </w:r>
                            <w:r>
                              <w:rPr>
                                <w:rFonts w:ascii="楷体" w:hAnsi="楷体" w:eastAsia="楷体" w:cs="楷体"/>
                                <w:spacing w:val="-5"/>
                                <w:sz w:val="28"/>
                                <w:szCs w:val="28"/>
                              </w:rPr>
                              <w:t>协议服务机构名称(签章)：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05pt;margin-top:1.4pt;height:18.5pt;width:194pt;z-index:251659264;mso-width-relative:page;mso-height-relative:page;" filled="f" stroked="f" coordsize="21600,21600" o:gfxdata="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W3DnLWAAAABwEAAA8AAAAAAAAAAQAgAAAAIgAAAGRycy9kb3ducmV2LnhtbFBLAQIU&#10;ABQAAAAIAIdO4kDFOf4kvAEAAHQDAAAOAAAAAAAAAAEAIAAAACU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17" w:lineRule="auto"/>
                        <w:ind w:left="20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ascii="楷体" w:hAnsi="楷体" w:eastAsia="楷体" w:cs="楷体"/>
                          <w:spacing w:val="-10"/>
                          <w:sz w:val="28"/>
                          <w:szCs w:val="28"/>
                        </w:rPr>
                        <w:t>定</w:t>
                      </w:r>
                      <w:r>
                        <w:rPr>
                          <w:rFonts w:ascii="楷体" w:hAnsi="楷体" w:eastAsia="楷体" w:cs="楷体"/>
                          <w:spacing w:val="-6"/>
                          <w:sz w:val="28"/>
                          <w:szCs w:val="28"/>
                        </w:rPr>
                        <w:t>点</w:t>
                      </w:r>
                      <w:r>
                        <w:rPr>
                          <w:rFonts w:ascii="楷体" w:hAnsi="楷体" w:eastAsia="楷体" w:cs="楷体"/>
                          <w:spacing w:val="-5"/>
                          <w:sz w:val="28"/>
                          <w:szCs w:val="28"/>
                        </w:rPr>
                        <w:t>协议服务机构名称(签章)：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楷体"/>
          <w:spacing w:val="-14"/>
          <w:sz w:val="28"/>
          <w:szCs w:val="28"/>
        </w:rPr>
        <w:t>考核</w:t>
      </w:r>
      <w:r>
        <w:rPr>
          <w:rFonts w:ascii="楷体" w:hAnsi="楷体" w:eastAsia="楷体" w:cs="楷体"/>
          <w:spacing w:val="-7"/>
          <w:sz w:val="28"/>
          <w:szCs w:val="28"/>
        </w:rPr>
        <w:t>时间：     年   月   日</w:t>
      </w:r>
    </w:p>
    <w:p>
      <w:pPr>
        <w:spacing w:line="21" w:lineRule="exact"/>
      </w:pPr>
    </w:p>
    <w:tbl>
      <w:tblPr>
        <w:tblStyle w:val="4"/>
        <w:tblW w:w="12778" w:type="dxa"/>
        <w:tblInd w:w="8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716"/>
        <w:gridCol w:w="742"/>
        <w:gridCol w:w="3571"/>
        <w:gridCol w:w="4621"/>
        <w:gridCol w:w="882"/>
        <w:gridCol w:w="850"/>
        <w:gridCol w:w="8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41" w:type="dxa"/>
            <w:textDirection w:val="tbRlV"/>
            <w:vAlign w:val="top"/>
          </w:tcPr>
          <w:p>
            <w:pPr>
              <w:spacing w:before="164" w:line="216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序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号</w:t>
            </w:r>
          </w:p>
        </w:tc>
        <w:tc>
          <w:tcPr>
            <w:tcW w:w="716" w:type="dxa"/>
            <w:vAlign w:val="top"/>
          </w:tcPr>
          <w:p>
            <w:pPr>
              <w:spacing w:before="200" w:line="227" w:lineRule="auto"/>
              <w:ind w:left="1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目</w:t>
            </w:r>
          </w:p>
        </w:tc>
        <w:tc>
          <w:tcPr>
            <w:tcW w:w="742" w:type="dxa"/>
            <w:vAlign w:val="top"/>
          </w:tcPr>
          <w:p>
            <w:pPr>
              <w:spacing w:before="51" w:line="300" w:lineRule="exact"/>
              <w:ind w:left="1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position w:val="7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pacing w:val="3"/>
                <w:position w:val="7"/>
                <w:sz w:val="20"/>
                <w:szCs w:val="20"/>
              </w:rPr>
              <w:t>序</w:t>
            </w:r>
          </w:p>
          <w:p>
            <w:pPr>
              <w:spacing w:line="226" w:lineRule="auto"/>
              <w:ind w:left="2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号</w:t>
            </w:r>
          </w:p>
        </w:tc>
        <w:tc>
          <w:tcPr>
            <w:tcW w:w="3571" w:type="dxa"/>
            <w:vAlign w:val="top"/>
          </w:tcPr>
          <w:p>
            <w:pPr>
              <w:spacing w:before="200" w:line="223" w:lineRule="auto"/>
              <w:ind w:left="13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检查内容</w:t>
            </w:r>
          </w:p>
        </w:tc>
        <w:tc>
          <w:tcPr>
            <w:tcW w:w="4621" w:type="dxa"/>
            <w:vAlign w:val="top"/>
          </w:tcPr>
          <w:p>
            <w:pPr>
              <w:spacing w:before="201" w:line="225" w:lineRule="auto"/>
              <w:ind w:left="18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分标准</w:t>
            </w:r>
          </w:p>
        </w:tc>
        <w:tc>
          <w:tcPr>
            <w:tcW w:w="882" w:type="dxa"/>
            <w:vAlign w:val="top"/>
          </w:tcPr>
          <w:p>
            <w:pPr>
              <w:spacing w:before="200" w:line="226" w:lineRule="auto"/>
              <w:ind w:left="2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值</w:t>
            </w:r>
          </w:p>
        </w:tc>
        <w:tc>
          <w:tcPr>
            <w:tcW w:w="850" w:type="dxa"/>
            <w:vAlign w:val="top"/>
          </w:tcPr>
          <w:p>
            <w:pPr>
              <w:spacing w:before="201" w:line="225" w:lineRule="auto"/>
              <w:ind w:left="1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自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评分</w:t>
            </w:r>
          </w:p>
        </w:tc>
        <w:tc>
          <w:tcPr>
            <w:tcW w:w="855" w:type="dxa"/>
            <w:vAlign w:val="top"/>
          </w:tcPr>
          <w:p>
            <w:pPr>
              <w:spacing w:before="201" w:line="225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考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核分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41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29" w:line="148" w:lineRule="exact"/>
              <w:ind w:left="183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97"/>
                <w:position w:val="1"/>
                <w:sz w:val="9"/>
                <w:szCs w:val="9"/>
              </w:rPr>
              <w:t>一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300" w:lineRule="exact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position w:val="6"/>
                <w:sz w:val="20"/>
                <w:szCs w:val="20"/>
              </w:rPr>
              <w:t>管理</w:t>
            </w:r>
          </w:p>
          <w:p>
            <w:pPr>
              <w:spacing w:line="225" w:lineRule="auto"/>
              <w:ind w:left="1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情</w:t>
            </w:r>
            <w:r>
              <w:rPr>
                <w:rFonts w:ascii="仿宋" w:hAnsi="仿宋" w:eastAsia="仿宋" w:cs="仿宋"/>
                <w:sz w:val="20"/>
                <w:szCs w:val="20"/>
              </w:rPr>
              <w:t>况</w:t>
            </w:r>
          </w:p>
          <w:p>
            <w:pPr>
              <w:spacing w:before="55" w:line="227" w:lineRule="auto"/>
              <w:ind w:left="1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31</w:t>
            </w:r>
          </w:p>
          <w:p>
            <w:pPr>
              <w:spacing w:before="54" w:line="227" w:lineRule="auto"/>
              <w:ind w:left="1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)</w:t>
            </w:r>
          </w:p>
        </w:tc>
        <w:tc>
          <w:tcPr>
            <w:tcW w:w="742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3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571" w:type="dxa"/>
            <w:vAlign w:val="top"/>
          </w:tcPr>
          <w:p>
            <w:pPr>
              <w:spacing w:before="47" w:line="264" w:lineRule="auto"/>
              <w:ind w:left="110" w:right="108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在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经营场所显要位置悬挂医保定点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标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牌、张贴医保定点要求公示内容、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药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品质量价格服务承诺书、执业药师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件，公布举报电话。</w:t>
            </w:r>
          </w:p>
        </w:tc>
        <w:tc>
          <w:tcPr>
            <w:tcW w:w="4621" w:type="dxa"/>
            <w:vAlign w:val="top"/>
          </w:tcPr>
          <w:p>
            <w:pPr>
              <w:spacing w:before="197" w:line="285" w:lineRule="auto"/>
              <w:ind w:left="111" w:right="1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示内容不全扣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3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分，查看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“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证件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”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及公示内容，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营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业场所未设置投诉举报箱、公布医保投诉电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话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，缺一项不得分。</w:t>
            </w:r>
          </w:p>
        </w:tc>
        <w:tc>
          <w:tcPr>
            <w:tcW w:w="882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3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3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57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13" w:right="312" w:firstLine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药品按规定分类摆放， 区域划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</w:rPr>
              <w:t>明 确。</w:t>
            </w:r>
          </w:p>
        </w:tc>
        <w:tc>
          <w:tcPr>
            <w:tcW w:w="4621" w:type="dxa"/>
            <w:vAlign w:val="top"/>
          </w:tcPr>
          <w:p>
            <w:pPr>
              <w:spacing w:before="45" w:line="264" w:lineRule="auto"/>
              <w:ind w:left="107" w:right="104" w:firstLine="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药品未分区摆放，摆放杂乱，或不满足特殊药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存储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件的，每次扣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分；未设置医保支付专区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仍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旧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摆放销售非医保目录范围内化妆品、食品、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百货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日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用品的，扣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3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分。</w:t>
            </w:r>
          </w:p>
        </w:tc>
        <w:tc>
          <w:tcPr>
            <w:tcW w:w="882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3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3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571" w:type="dxa"/>
            <w:vAlign w:val="top"/>
          </w:tcPr>
          <w:p>
            <w:pPr>
              <w:spacing w:before="199" w:line="289" w:lineRule="auto"/>
              <w:ind w:left="110" w:right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立药品进、销、存信息管理，账物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相符。</w:t>
            </w:r>
          </w:p>
        </w:tc>
        <w:tc>
          <w:tcPr>
            <w:tcW w:w="4621" w:type="dxa"/>
            <w:vAlign w:val="top"/>
          </w:tcPr>
          <w:p>
            <w:pPr>
              <w:spacing w:before="49" w:line="260" w:lineRule="auto"/>
              <w:ind w:left="116" w:right="104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未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实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行药品进销存信息化管理的，扣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2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分；账物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符扣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4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分；结算清单无明细信息的，发现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扣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2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分。</w:t>
            </w:r>
          </w:p>
        </w:tc>
        <w:tc>
          <w:tcPr>
            <w:tcW w:w="88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3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3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571" w:type="dxa"/>
            <w:vAlign w:val="top"/>
          </w:tcPr>
          <w:p>
            <w:pPr>
              <w:spacing w:before="48" w:line="261" w:lineRule="auto"/>
              <w:ind w:left="112" w:right="106" w:firstLine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药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品的实际金额与票据、 申报金额不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符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，处方日期与票据日期不符且超过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3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天以上，特殊情况须有医师说明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。</w:t>
            </w:r>
          </w:p>
        </w:tc>
        <w:tc>
          <w:tcPr>
            <w:tcW w:w="4621" w:type="dxa"/>
            <w:vAlign w:val="top"/>
          </w:tcPr>
          <w:p>
            <w:pPr>
              <w:spacing w:before="199" w:line="290" w:lineRule="auto"/>
              <w:ind w:left="130" w:right="46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收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费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、记账与票据、处方、实际配售药品等不符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 xml:space="preserve">的发现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例扣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4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，不能提供有效票据的扣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仿宋" w:hAnsi="仿宋" w:eastAsia="仿宋" w:cs="仿宋"/>
                <w:sz w:val="20"/>
                <w:szCs w:val="20"/>
              </w:rPr>
              <w:t>分。</w:t>
            </w:r>
          </w:p>
        </w:tc>
        <w:tc>
          <w:tcPr>
            <w:tcW w:w="88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57" w:line="192" w:lineRule="auto"/>
              <w:ind w:left="3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>
            <w:pPr>
              <w:spacing w:before="239" w:line="192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571" w:type="dxa"/>
            <w:vAlign w:val="top"/>
          </w:tcPr>
          <w:p>
            <w:pPr>
              <w:spacing w:before="53" w:line="250" w:lineRule="auto"/>
              <w:ind w:left="123" w:right="312" w:hanging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是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否存在向参保人员违规超量销售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药品的行为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。</w:t>
            </w:r>
          </w:p>
        </w:tc>
        <w:tc>
          <w:tcPr>
            <w:tcW w:w="4621" w:type="dxa"/>
            <w:vAlign w:val="top"/>
          </w:tcPr>
          <w:p>
            <w:pPr>
              <w:spacing w:before="201" w:line="224" w:lineRule="auto"/>
              <w:ind w:left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超量销售药品的，扣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3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。</w:t>
            </w:r>
          </w:p>
        </w:tc>
        <w:tc>
          <w:tcPr>
            <w:tcW w:w="882" w:type="dxa"/>
            <w:vAlign w:val="top"/>
          </w:tcPr>
          <w:p>
            <w:pPr>
              <w:spacing w:before="236" w:line="195" w:lineRule="auto"/>
              <w:ind w:left="3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3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571" w:type="dxa"/>
            <w:vAlign w:val="top"/>
          </w:tcPr>
          <w:p>
            <w:pPr>
              <w:spacing w:before="54" w:line="266" w:lineRule="auto"/>
              <w:ind w:left="106" w:right="108" w:firstLine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为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参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保人员提供医保个人账户结算、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信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息查询、政策咨询服务；具有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“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地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两病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”“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慢病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”“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特药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”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服务资质的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药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店，建立相应管理制度，妥善保管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相关结算发票。</w:t>
            </w:r>
          </w:p>
        </w:tc>
        <w:tc>
          <w:tcPr>
            <w:tcW w:w="4621" w:type="dxa"/>
            <w:vAlign w:val="top"/>
          </w:tcPr>
          <w:p>
            <w:pPr>
              <w:spacing w:before="53" w:line="266" w:lineRule="auto"/>
              <w:ind w:left="114" w:right="104"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各种理由要求参保人员现金结算，拒绝为参保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提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供正常的医保结算服务的，扣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5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分。不能为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参保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员提供信息查询、政策咨询服务的，扣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分。具有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“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异地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”“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两病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”“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慢病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”“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特药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服务资质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药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店但未建立相应管理制度或未保管相关结算</w:t>
            </w:r>
          </w:p>
        </w:tc>
        <w:tc>
          <w:tcPr>
            <w:tcW w:w="88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7" w:line="192" w:lineRule="auto"/>
              <w:ind w:left="3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8" w:h="11905" w:orient="landscape"/>
          <w:pgMar w:top="1015" w:right="850" w:bottom="403" w:left="1701" w:header="0" w:footer="0" w:gutter="0"/>
          <w:paperSrc/>
          <w:cols w:space="0" w:num="1"/>
          <w:rtlGutter w:val="0"/>
          <w:docGrid w:linePitch="0" w:charSpace="0"/>
        </w:sectPr>
      </w:pPr>
    </w:p>
    <w:p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6377940</wp:posOffset>
                </wp:positionV>
                <wp:extent cx="198120" cy="320040"/>
                <wp:effectExtent l="0" t="6096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657849" y="6378180"/>
                          <a:ext cx="198120" cy="320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189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51.75pt;margin-top:502.2pt;height:25.2pt;width:15.6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zQJRLWAAAADQEAAA8AAAAAAAAAAQAgAAAAIgAAAGRycy9kb3ducmV2LnhtbFBLAQIU&#10;ABQAAAAIAIdO4kBqYCXWLgIAAGsEAAAOAAAAAAAAAAEAIAAAACUBAABkcnMvZTJvRG9jLnhtbFBL&#10;BQYAAAAABgAGAFkBAADF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89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spacing w:line="92" w:lineRule="exact"/>
      </w:pPr>
    </w:p>
    <w:tbl>
      <w:tblPr>
        <w:tblStyle w:val="4"/>
        <w:tblW w:w="12778" w:type="dxa"/>
        <w:tblInd w:w="8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716"/>
        <w:gridCol w:w="742"/>
        <w:gridCol w:w="3571"/>
        <w:gridCol w:w="4621"/>
        <w:gridCol w:w="882"/>
        <w:gridCol w:w="850"/>
        <w:gridCol w:w="8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1" w:type="dxa"/>
            <w:vAlign w:val="top"/>
          </w:tcPr>
          <w:p>
            <w:pPr>
              <w:spacing w:before="51" w:line="227" w:lineRule="auto"/>
              <w:ind w:left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发票的，扣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2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分。扣完为止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。</w:t>
            </w: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41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1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二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300" w:lineRule="exact"/>
              <w:ind w:left="1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position w:val="6"/>
                <w:sz w:val="20"/>
                <w:szCs w:val="20"/>
              </w:rPr>
              <w:t>组</w:t>
            </w:r>
            <w:r>
              <w:rPr>
                <w:rFonts w:ascii="仿宋" w:hAnsi="仿宋" w:eastAsia="仿宋" w:cs="仿宋"/>
                <w:spacing w:val="3"/>
                <w:position w:val="6"/>
                <w:sz w:val="20"/>
                <w:szCs w:val="20"/>
              </w:rPr>
              <w:t>织</w:t>
            </w:r>
          </w:p>
          <w:p>
            <w:pPr>
              <w:spacing w:line="225" w:lineRule="auto"/>
              <w:ind w:left="1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构</w:t>
            </w:r>
          </w:p>
          <w:p>
            <w:pPr>
              <w:spacing w:before="56" w:line="228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与人</w:t>
            </w:r>
          </w:p>
          <w:p>
            <w:pPr>
              <w:spacing w:before="53" w:line="225" w:lineRule="auto"/>
              <w:ind w:left="1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员情</w:t>
            </w:r>
          </w:p>
          <w:p>
            <w:pPr>
              <w:spacing w:before="55" w:line="228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况。</w:t>
            </w:r>
          </w:p>
          <w:p>
            <w:pPr>
              <w:spacing w:before="53" w:line="227" w:lineRule="auto"/>
              <w:ind w:left="2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9</w:t>
            </w:r>
          </w:p>
          <w:p>
            <w:pPr>
              <w:spacing w:before="54" w:line="227" w:lineRule="auto"/>
              <w:ind w:left="1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)</w:t>
            </w:r>
          </w:p>
        </w:tc>
        <w:tc>
          <w:tcPr>
            <w:tcW w:w="742" w:type="dxa"/>
            <w:vAlign w:val="top"/>
          </w:tcPr>
          <w:p>
            <w:pPr>
              <w:spacing w:before="286" w:line="192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571" w:type="dxa"/>
            <w:vAlign w:val="top"/>
          </w:tcPr>
          <w:p>
            <w:pPr>
              <w:spacing w:before="98" w:line="280" w:lineRule="auto"/>
              <w:ind w:left="122" w:right="155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配有医疗保险专 (兼) 职管理人员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负责与医保经办机构的业务联系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。</w:t>
            </w:r>
          </w:p>
        </w:tc>
        <w:tc>
          <w:tcPr>
            <w:tcW w:w="4621" w:type="dxa"/>
            <w:vAlign w:val="top"/>
          </w:tcPr>
          <w:p>
            <w:pPr>
              <w:spacing w:before="98" w:line="280" w:lineRule="auto"/>
              <w:ind w:left="115" w:right="104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无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专 (兼) 职管理人员该项不得分，管理人员不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认真履职扣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z w:val="20"/>
                <w:szCs w:val="20"/>
              </w:rPr>
              <w:t>分。</w:t>
            </w:r>
          </w:p>
        </w:tc>
        <w:tc>
          <w:tcPr>
            <w:tcW w:w="882" w:type="dxa"/>
            <w:vAlign w:val="top"/>
          </w:tcPr>
          <w:p>
            <w:pPr>
              <w:spacing w:before="283" w:line="195" w:lineRule="auto"/>
              <w:ind w:left="3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3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571" w:type="dxa"/>
            <w:vAlign w:val="top"/>
          </w:tcPr>
          <w:p>
            <w:pPr>
              <w:spacing w:before="47" w:line="264" w:lineRule="auto"/>
              <w:ind w:left="115" w:right="106" w:firstLine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药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店地址、名称及负责人等事项有变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更的，应及时向医保经办机构申请相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应变更登记；与医保经办机构签订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服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务协议。</w:t>
            </w:r>
          </w:p>
        </w:tc>
        <w:tc>
          <w:tcPr>
            <w:tcW w:w="4621" w:type="dxa"/>
            <w:vAlign w:val="top"/>
          </w:tcPr>
          <w:p>
            <w:pPr>
              <w:spacing w:before="197" w:line="284" w:lineRule="auto"/>
              <w:ind w:left="112" w:right="42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经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市场监管部门批准后的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30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个工作日内，未及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时向医保部门递交变更申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请，扣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分。未签协议、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未保存，此项不得分，</w:t>
            </w:r>
          </w:p>
        </w:tc>
        <w:tc>
          <w:tcPr>
            <w:tcW w:w="882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3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571" w:type="dxa"/>
            <w:vAlign w:val="top"/>
          </w:tcPr>
          <w:p>
            <w:pPr>
              <w:spacing w:before="46" w:line="265" w:lineRule="auto"/>
              <w:ind w:left="114" w:right="106" w:firstLine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至少配有一名驻店注册药师 (执业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师 )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，并按规定参加培训学习，年审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合格。营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期间驻店药师在岗。 营业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员统一工作服装。</w:t>
            </w:r>
          </w:p>
        </w:tc>
        <w:tc>
          <w:tcPr>
            <w:tcW w:w="4621" w:type="dxa"/>
            <w:vAlign w:val="top"/>
          </w:tcPr>
          <w:p>
            <w:pPr>
              <w:spacing w:before="198" w:line="286" w:lineRule="auto"/>
              <w:ind w:left="117" w:right="104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无驻店注册药师 (执业药师) 不得分。 营业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间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驻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店药师不在岗扣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3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分。从业人员未统一着装扣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分。</w:t>
            </w:r>
          </w:p>
        </w:tc>
        <w:tc>
          <w:tcPr>
            <w:tcW w:w="882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3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541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65" w:lineRule="exact"/>
              <w:ind w:left="1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三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-364490</wp:posOffset>
                      </wp:positionH>
                      <wp:positionV relativeFrom="topMargin">
                        <wp:posOffset>1072515</wp:posOffset>
                      </wp:positionV>
                      <wp:extent cx="150495" cy="181610"/>
                      <wp:effectExtent l="0" t="0" r="0" b="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27" w:lineRule="auto"/>
                                    <w:ind w:left="20"/>
                                    <w:rPr>
                                      <w:rFonts w:ascii="仿宋" w:hAnsi="仿宋" w:eastAsia="仿宋" w:cs="仿宋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z w:val="20"/>
                                      <w:szCs w:val="20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pt;margin-top:84.7pt;height:14.3pt;width:11.85pt;mso-position-horizontal-relative:page;mso-position-vertical-relative:page;z-index:251660288;mso-width-relative:page;mso-height-relative:page;" filled="f" stroked="f" coordsize="21600,21600" o:gfxdata="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APmdraAAAACwEAAA8AAAAAAAAAAQAgAAAAIgAAAGRycy9kb3ducmV2LnhtbFBL&#10;AQIUABQAAAAIAIdO4kDoO1+fuwEAAHMDAAAOAAAAAAAAAAEAIAAAACkBAABkcnMvZTJvRG9jLnht&#10;bFBLBQYAAAAABgAGAFkBAABW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27" w:lineRule="auto"/>
                              <w:ind w:left="20"/>
                              <w:rPr>
                                <w:rFonts w:ascii="仿宋" w:hAnsi="仿宋" w:eastAsia="仿宋" w:cs="仿宋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20"/>
                                <w:szCs w:val="20"/>
                              </w:rPr>
                              <w:t>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300" w:lineRule="exact"/>
              <w:ind w:left="1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position w:val="6"/>
                <w:sz w:val="20"/>
                <w:szCs w:val="20"/>
              </w:rPr>
              <w:t>服</w:t>
            </w:r>
            <w:r>
              <w:rPr>
                <w:rFonts w:ascii="仿宋" w:hAnsi="仿宋" w:eastAsia="仿宋" w:cs="仿宋"/>
                <w:spacing w:val="3"/>
                <w:position w:val="6"/>
                <w:sz w:val="20"/>
                <w:szCs w:val="20"/>
              </w:rPr>
              <w:t>务</w:t>
            </w:r>
          </w:p>
          <w:p>
            <w:pPr>
              <w:spacing w:line="224" w:lineRule="auto"/>
              <w:ind w:left="2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能</w:t>
            </w:r>
          </w:p>
          <w:p>
            <w:pPr>
              <w:spacing w:before="188" w:line="92" w:lineRule="exact"/>
              <w:ind w:left="3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2"/>
                <w:sz w:val="20"/>
                <w:szCs w:val="20"/>
              </w:rPr>
              <w:t>、</w:t>
            </w:r>
          </w:p>
          <w:p>
            <w:pPr>
              <w:spacing w:before="76" w:line="300" w:lineRule="exact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position w:val="6"/>
                <w:sz w:val="20"/>
                <w:szCs w:val="20"/>
              </w:rPr>
              <w:t>质量</w:t>
            </w:r>
          </w:p>
          <w:p>
            <w:pPr>
              <w:spacing w:line="225" w:lineRule="auto"/>
              <w:ind w:left="2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情</w:t>
            </w:r>
          </w:p>
          <w:p>
            <w:pPr>
              <w:spacing w:before="56" w:line="241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况。</w:t>
            </w:r>
          </w:p>
          <w:p>
            <w:pPr>
              <w:spacing w:line="282" w:lineRule="exact"/>
              <w:ind w:left="2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4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"/>
                <w:position w:val="4"/>
                <w:sz w:val="20"/>
                <w:szCs w:val="20"/>
              </w:rPr>
              <w:t>22</w:t>
            </w:r>
          </w:p>
          <w:p>
            <w:pPr>
              <w:spacing w:before="18" w:line="282" w:lineRule="exact"/>
              <w:ind w:left="2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2"/>
                <w:sz w:val="20"/>
                <w:szCs w:val="20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)</w:t>
            </w:r>
          </w:p>
        </w:tc>
        <w:tc>
          <w:tcPr>
            <w:tcW w:w="74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0</w:t>
            </w:r>
          </w:p>
        </w:tc>
        <w:tc>
          <w:tcPr>
            <w:tcW w:w="3571" w:type="dxa"/>
            <w:vAlign w:val="top"/>
          </w:tcPr>
          <w:p>
            <w:pPr>
              <w:spacing w:before="50" w:line="266" w:lineRule="auto"/>
              <w:ind w:left="109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是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否有专人负责信息系统管理维护，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能按照要求配备系统软件、硬件、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络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设备，及时做好系统维护升级与社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保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经办机构系统对接、数据上传，确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保系统和数据安全。</w:t>
            </w:r>
          </w:p>
        </w:tc>
        <w:tc>
          <w:tcPr>
            <w:tcW w:w="4621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65" w:line="289" w:lineRule="auto"/>
              <w:ind w:left="122" w:right="104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无专人负责维护管理扣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2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分，未及时进行信息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统升级维护的扣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2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分。</w:t>
            </w:r>
          </w:p>
        </w:tc>
        <w:tc>
          <w:tcPr>
            <w:tcW w:w="88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3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</w:p>
        </w:tc>
        <w:tc>
          <w:tcPr>
            <w:tcW w:w="3571" w:type="dxa"/>
            <w:vAlign w:val="top"/>
          </w:tcPr>
          <w:p>
            <w:pPr>
              <w:spacing w:before="199" w:line="309" w:lineRule="auto"/>
              <w:ind w:left="110" w:right="108" w:firstLine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实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时准确上传参保人配售药费明细，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做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到上传数据与处方、实际配售药品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致。</w:t>
            </w:r>
          </w:p>
        </w:tc>
        <w:tc>
          <w:tcPr>
            <w:tcW w:w="4621" w:type="dxa"/>
            <w:vAlign w:val="top"/>
          </w:tcPr>
          <w:p>
            <w:pPr>
              <w:spacing w:before="49" w:line="264" w:lineRule="auto"/>
              <w:ind w:left="115" w:right="104" w:firstLine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随机抽查结算票据，未据实录入药品配售信息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上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传信息数据不全面、人为缺项的，上传信息数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据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不准确、数据造假的，上传信息数据未按时限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要求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的，每项扣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3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分。</w:t>
            </w:r>
          </w:p>
        </w:tc>
        <w:tc>
          <w:tcPr>
            <w:tcW w:w="882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3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2</w:t>
            </w:r>
          </w:p>
        </w:tc>
        <w:tc>
          <w:tcPr>
            <w:tcW w:w="3571" w:type="dxa"/>
            <w:vAlign w:val="top"/>
          </w:tcPr>
          <w:p>
            <w:pPr>
              <w:spacing w:before="51" w:line="268" w:lineRule="auto"/>
              <w:ind w:left="111" w:right="106" w:firstLine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业人员服务热情大方，销售药品能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正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确说明疗效、用法、用量和注意事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。调配处方须经过核对，对有配伍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禁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忌或超剂量的处方应当拒绝调配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经处方医师签字后方可调配。查验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核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对处方药品并登记。</w:t>
            </w:r>
          </w:p>
        </w:tc>
        <w:tc>
          <w:tcPr>
            <w:tcW w:w="462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283" w:lineRule="auto"/>
              <w:ind w:left="112" w:right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抽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查工作人员，不能正确说明疗效、用法、用量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和注意事项，一项扣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分，发现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例存在超剂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有配伍禁忌的扣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2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分。销售处方药无登记、记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录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不全扣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2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分。</w:t>
            </w:r>
          </w:p>
        </w:tc>
        <w:tc>
          <w:tcPr>
            <w:tcW w:w="88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3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8" w:h="11905" w:orient="landscape"/>
          <w:pgMar w:top="1015" w:right="850" w:bottom="403" w:left="1701" w:header="0" w:footer="0" w:gutter="0"/>
          <w:paperSrc/>
          <w:cols w:space="0" w:num="1"/>
          <w:rtlGutter w:val="0"/>
          <w:docGrid w:linePitch="0" w:charSpace="0"/>
        </w:sectPr>
      </w:pPr>
    </w:p>
    <w:p/>
    <w:p/>
    <w:p>
      <w:pPr>
        <w:spacing w:line="92" w:lineRule="exact"/>
      </w:pPr>
    </w:p>
    <w:tbl>
      <w:tblPr>
        <w:tblStyle w:val="4"/>
        <w:tblW w:w="12778" w:type="dxa"/>
        <w:tblInd w:w="8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716"/>
        <w:gridCol w:w="742"/>
        <w:gridCol w:w="3571"/>
        <w:gridCol w:w="4621"/>
        <w:gridCol w:w="882"/>
        <w:gridCol w:w="850"/>
        <w:gridCol w:w="8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5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3</w:t>
            </w:r>
          </w:p>
        </w:tc>
        <w:tc>
          <w:tcPr>
            <w:tcW w:w="3571" w:type="dxa"/>
            <w:vAlign w:val="top"/>
          </w:tcPr>
          <w:p>
            <w:pPr>
              <w:spacing w:before="282" w:line="292" w:lineRule="auto"/>
              <w:ind w:left="119" w:right="108" w:firstLine="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门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诊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慢性病、特药定点机构的药品配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置、结算服务情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况</w:t>
            </w:r>
          </w:p>
        </w:tc>
        <w:tc>
          <w:tcPr>
            <w:tcW w:w="4621" w:type="dxa"/>
            <w:vAlign w:val="top"/>
          </w:tcPr>
          <w:p>
            <w:pPr>
              <w:spacing w:before="131" w:line="275" w:lineRule="auto"/>
              <w:ind w:left="112" w:right="104" w:firstLine="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诊慢性病、特药定点机构药品配备不足、结算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量低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于同类别药店结算量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50%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的，扣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2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分；被投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诉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实由主要责任的，此项不得分。</w:t>
            </w:r>
          </w:p>
        </w:tc>
        <w:tc>
          <w:tcPr>
            <w:tcW w:w="882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3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4</w:t>
            </w:r>
          </w:p>
        </w:tc>
        <w:tc>
          <w:tcPr>
            <w:tcW w:w="3571" w:type="dxa"/>
            <w:vAlign w:val="top"/>
          </w:tcPr>
          <w:p>
            <w:pPr>
              <w:spacing w:before="279" w:line="289" w:lineRule="auto"/>
              <w:ind w:left="110" w:right="106"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医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保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电子凭证应用情况，贯标工作落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地应用情况。</w:t>
            </w:r>
          </w:p>
        </w:tc>
        <w:tc>
          <w:tcPr>
            <w:tcW w:w="4621" w:type="dxa"/>
            <w:vAlign w:val="top"/>
          </w:tcPr>
          <w:p>
            <w:pPr>
              <w:spacing w:before="128" w:line="285" w:lineRule="auto"/>
              <w:ind w:left="113" w:right="104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是否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全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面支持电子医保凭证使用，配备终端 ( 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终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端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此项不得分) ；贯标工作是否落地应用 (未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成不得分)</w:t>
            </w:r>
          </w:p>
        </w:tc>
        <w:tc>
          <w:tcPr>
            <w:tcW w:w="882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3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41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38" w:lineRule="auto"/>
              <w:ind w:left="1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四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300" w:lineRule="exact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7"/>
                <w:sz w:val="20"/>
                <w:szCs w:val="20"/>
              </w:rPr>
              <w:t>开</w:t>
            </w:r>
            <w:r>
              <w:rPr>
                <w:rFonts w:ascii="仿宋" w:hAnsi="仿宋" w:eastAsia="仿宋" w:cs="仿宋"/>
                <w:spacing w:val="1"/>
                <w:position w:val="7"/>
                <w:sz w:val="20"/>
                <w:szCs w:val="20"/>
              </w:rPr>
              <w:t>展</w:t>
            </w:r>
          </w:p>
          <w:p>
            <w:pPr>
              <w:spacing w:line="226" w:lineRule="auto"/>
              <w:ind w:left="1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打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击</w:t>
            </w:r>
          </w:p>
          <w:p>
            <w:pPr>
              <w:spacing w:before="55" w:line="225" w:lineRule="auto"/>
              <w:ind w:left="1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欺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诈</w:t>
            </w:r>
          </w:p>
          <w:p>
            <w:pPr>
              <w:spacing w:before="56" w:line="225" w:lineRule="auto"/>
              <w:ind w:lef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骗取</w:t>
            </w:r>
          </w:p>
          <w:p>
            <w:pPr>
              <w:spacing w:before="55" w:line="224" w:lineRule="auto"/>
              <w:ind w:left="1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医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保</w:t>
            </w:r>
          </w:p>
          <w:p>
            <w:pPr>
              <w:spacing w:before="57" w:line="231" w:lineRule="auto"/>
              <w:ind w:left="1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基金</w:t>
            </w:r>
          </w:p>
          <w:p>
            <w:pPr>
              <w:spacing w:before="50" w:line="225" w:lineRule="auto"/>
              <w:ind w:left="1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情</w:t>
            </w:r>
            <w:r>
              <w:rPr>
                <w:rFonts w:ascii="仿宋" w:hAnsi="仿宋" w:eastAsia="仿宋" w:cs="仿宋"/>
                <w:sz w:val="20"/>
                <w:szCs w:val="20"/>
              </w:rPr>
              <w:t>况</w:t>
            </w:r>
          </w:p>
          <w:p>
            <w:pPr>
              <w:spacing w:before="56" w:line="227" w:lineRule="auto"/>
              <w:ind w:left="1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38</w:t>
            </w:r>
          </w:p>
          <w:p>
            <w:pPr>
              <w:spacing w:before="54" w:line="227" w:lineRule="auto"/>
              <w:ind w:left="1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)</w:t>
            </w:r>
          </w:p>
        </w:tc>
        <w:tc>
          <w:tcPr>
            <w:tcW w:w="742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5</w:t>
            </w:r>
          </w:p>
        </w:tc>
        <w:tc>
          <w:tcPr>
            <w:tcW w:w="3571" w:type="dxa"/>
            <w:vAlign w:val="top"/>
          </w:tcPr>
          <w:p>
            <w:pPr>
              <w:spacing w:before="46" w:line="266" w:lineRule="auto"/>
              <w:ind w:left="112" w:right="106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是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否按要求张贴宣传资料、组织专项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学习宣传、开展自查自纠，是否有整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改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措施，有无违法违规行为，并受到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查处。</w:t>
            </w:r>
          </w:p>
        </w:tc>
        <w:tc>
          <w:tcPr>
            <w:tcW w:w="4621" w:type="dxa"/>
            <w:vAlign w:val="top"/>
          </w:tcPr>
          <w:p>
            <w:pPr>
              <w:spacing w:before="198" w:line="285" w:lineRule="auto"/>
              <w:ind w:left="112" w:right="104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无学习宣传资料扣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分，未按要求开展自查扣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自查有违规行为无整改措施扣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2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分，有违规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为受到查处此项不得分。</w:t>
            </w:r>
          </w:p>
        </w:tc>
        <w:tc>
          <w:tcPr>
            <w:tcW w:w="882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3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6</w:t>
            </w:r>
          </w:p>
        </w:tc>
        <w:tc>
          <w:tcPr>
            <w:tcW w:w="3571" w:type="dxa"/>
            <w:vAlign w:val="top"/>
          </w:tcPr>
          <w:p>
            <w:pPr>
              <w:spacing w:before="107" w:line="282" w:lineRule="auto"/>
              <w:ind w:left="112" w:right="312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是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否为无定点资格的零售药店和医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疗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机构代刷医疗保险卡套取个人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  <w:lang w:eastAsia="zh-CN"/>
              </w:rPr>
              <w:t>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户资金。</w:t>
            </w:r>
          </w:p>
        </w:tc>
        <w:tc>
          <w:tcPr>
            <w:tcW w:w="4621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发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现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例，此项不得分。</w:t>
            </w:r>
          </w:p>
        </w:tc>
        <w:tc>
          <w:tcPr>
            <w:tcW w:w="882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3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7</w:t>
            </w:r>
          </w:p>
        </w:tc>
        <w:tc>
          <w:tcPr>
            <w:tcW w:w="3571" w:type="dxa"/>
            <w:vAlign w:val="top"/>
          </w:tcPr>
          <w:p>
            <w:pPr>
              <w:spacing w:before="48" w:line="267" w:lineRule="auto"/>
              <w:ind w:left="66" w:right="106" w:firstLine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严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格执行医保个人账户管理规定，执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行医保支付范围、支付标准的规定。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是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否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存在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“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以药代药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”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“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以物充药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”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>“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以药兑现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”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行为，是否出售假药、劣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药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，过期药品等。</w:t>
            </w:r>
          </w:p>
        </w:tc>
        <w:tc>
          <w:tcPr>
            <w:tcW w:w="4621" w:type="dxa"/>
            <w:vAlign w:val="top"/>
          </w:tcPr>
          <w:p>
            <w:pPr>
              <w:spacing w:before="199" w:line="283" w:lineRule="auto"/>
              <w:ind w:left="112" w:right="59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有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明确超支付限定，超范围售卖的，发现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例扣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5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分； 出售假药、劣药，过期药品，发现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分；存在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“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以药代药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”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“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以物充药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”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“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以药兑现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”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行为发现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 xml:space="preserve">例扣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5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分；</w:t>
            </w:r>
          </w:p>
        </w:tc>
        <w:tc>
          <w:tcPr>
            <w:tcW w:w="88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8</w:t>
            </w:r>
          </w:p>
        </w:tc>
        <w:tc>
          <w:tcPr>
            <w:tcW w:w="357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5" w:line="285" w:lineRule="auto"/>
              <w:ind w:left="122" w:right="106" w:hanging="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是否存在虚开发票、虚列费用、 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换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药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品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、违规使用医保卡个人账户结算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等行为，骗取医保基金的行为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。</w:t>
            </w:r>
          </w:p>
        </w:tc>
        <w:tc>
          <w:tcPr>
            <w:tcW w:w="4621" w:type="dxa"/>
            <w:vAlign w:val="top"/>
          </w:tcPr>
          <w:p>
            <w:pPr>
              <w:spacing w:before="54" w:line="266" w:lineRule="auto"/>
              <w:ind w:left="112" w:right="42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结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合日常掌握情况及此次检查情况，存在为参保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人员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虚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开发票，用于医保报销的发现一例，扣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分，扣完为止；存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在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医保个人账户结算所列药品、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医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用耗材与收费价格不相符的，或违规超范围使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用医保卡个人账户进行结算的，此项不得分。</w:t>
            </w:r>
          </w:p>
        </w:tc>
        <w:tc>
          <w:tcPr>
            <w:tcW w:w="88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191" w:type="dxa"/>
            <w:gridSpan w:val="5"/>
            <w:vAlign w:val="top"/>
          </w:tcPr>
          <w:p>
            <w:pPr>
              <w:spacing w:before="103" w:line="225" w:lineRule="auto"/>
              <w:ind w:left="4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合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             计</w:t>
            </w:r>
          </w:p>
        </w:tc>
        <w:tc>
          <w:tcPr>
            <w:tcW w:w="882" w:type="dxa"/>
            <w:vAlign w:val="top"/>
          </w:tcPr>
          <w:p>
            <w:pPr>
              <w:spacing w:before="140" w:line="195" w:lineRule="auto"/>
              <w:ind w:left="3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9" w:line="226" w:lineRule="auto"/>
        <w:ind w:left="849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10"/>
          <w:sz w:val="20"/>
          <w:szCs w:val="20"/>
        </w:rPr>
        <w:t>备注：违反</w:t>
      </w:r>
      <w:r>
        <w:rPr>
          <w:rFonts w:ascii="楷体" w:hAnsi="楷体" w:eastAsia="楷体" w:cs="楷体"/>
          <w:spacing w:val="5"/>
          <w:sz w:val="20"/>
          <w:szCs w:val="20"/>
        </w:rPr>
        <w:t>医疗保障有关政策规定或服务协议约定，但本表中没有具体评分标准的，每项扣 5 分，情节严重的扣 10 分。</w:t>
      </w:r>
    </w:p>
    <w:p/>
    <w:sectPr>
      <w:pgSz w:w="16838" w:h="11905" w:orient="landscape"/>
      <w:pgMar w:top="1015" w:right="850" w:bottom="403" w:left="1701" w:header="0" w:footer="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GMwZDhiOTY2N2VlMTU1ODA1ZDE0ODExMWRhNDAifQ=="/>
  </w:docVars>
  <w:rsids>
    <w:rsidRoot w:val="46727F3E"/>
    <w:rsid w:val="4672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2023-02-28T02:53:00Z</dcterms:created>
  <dc:creator>大型食肉宠物</dc:creator>
  <cp:lastModifiedBy>大型食肉宠物</cp:lastModifiedBy>
  <dcterms:modified xsi:type="dcterms:W3CDTF">2023-02-28T02:56:44Z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E5763E19CD87467680A2ADFECA9871B4</vt:lpwstr>
  </property>
</Properties>
</file>