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3" w:lineRule="auto"/>
        <w:rPr>
          <w:rFonts w:ascii="Arial"/>
          <w:sz w:val="21"/>
        </w:rPr>
      </w:pPr>
    </w:p>
    <w:p>
      <w:pPr>
        <w:spacing w:before="100" w:line="230" w:lineRule="auto"/>
        <w:ind w:left="8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spacing w:val="-16"/>
          <w:sz w:val="31"/>
          <w:szCs w:val="31"/>
        </w:rPr>
        <w:t>件 2：</w:t>
      </w:r>
    </w:p>
    <w:p>
      <w:pPr>
        <w:spacing w:before="5" w:line="186" w:lineRule="auto"/>
        <w:ind w:left="3718" w:right="2" w:hanging="2864"/>
        <w:rPr>
          <w:rFonts w:ascii="微软雅黑" w:hAnsi="微软雅黑" w:eastAsia="微软雅黑" w:cs="微软雅黑"/>
          <w:spacing w:val="9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2022年度汉中市基本医疗保险定点医疗机构(不含仅开通医保</w:t>
      </w:r>
    </w:p>
    <w:p>
      <w:pPr>
        <w:spacing w:before="5" w:line="186" w:lineRule="auto"/>
        <w:ind w:left="3718" w:right="2" w:hanging="2864"/>
        <w:jc w:val="center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r>
        <w:rPr>
          <w:rFonts w:ascii="微软雅黑" w:hAnsi="微软雅黑" w:eastAsia="微软雅黑" w:cs="微软雅黑"/>
          <w:spacing w:val="9"/>
          <w:sz w:val="43"/>
          <w:szCs w:val="43"/>
        </w:rPr>
        <w:t>门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诊</w:t>
      </w:r>
      <w:r>
        <w:rPr>
          <w:rFonts w:ascii="微软雅黑" w:hAnsi="微软雅黑" w:eastAsia="微软雅黑" w:cs="微软雅黑"/>
          <w:spacing w:val="18"/>
          <w:sz w:val="43"/>
          <w:szCs w:val="43"/>
        </w:rPr>
        <w:t>结算业务) 履行服务协议考核评分</w:t>
      </w:r>
      <w:r>
        <w:rPr>
          <w:rFonts w:ascii="微软雅黑" w:hAnsi="微软雅黑" w:eastAsia="微软雅黑" w:cs="微软雅黑"/>
          <w:spacing w:val="17"/>
          <w:sz w:val="43"/>
          <w:szCs w:val="43"/>
        </w:rPr>
        <w:t>表</w:t>
      </w:r>
    </w:p>
    <w:bookmarkEnd w:id="0"/>
    <w:p>
      <w:pPr>
        <w:spacing w:line="28" w:lineRule="auto"/>
        <w:rPr>
          <w:rFonts w:ascii="Arial"/>
          <w:sz w:val="2"/>
        </w:rPr>
      </w:pPr>
    </w:p>
    <w:p>
      <w:pPr>
        <w:sectPr>
          <w:footerReference r:id="rId5" w:type="default"/>
          <w:pgSz w:w="16839" w:h="11906"/>
          <w:pgMar w:top="1012" w:right="2097" w:bottom="400" w:left="1137" w:header="0" w:footer="0" w:gutter="0"/>
          <w:cols w:equalWidth="0" w:num="1">
            <w:col w:w="13604"/>
          </w:cols>
        </w:sectPr>
      </w:pPr>
    </w:p>
    <w:p>
      <w:pPr>
        <w:spacing w:before="56" w:line="184" w:lineRule="auto"/>
        <w:ind w:left="861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</w:rPr>
        <w:t>定点协议服务机构名称</w:t>
      </w:r>
      <w:r>
        <w:rPr>
          <w:rFonts w:ascii="楷体" w:hAnsi="楷体" w:eastAsia="楷体" w:cs="楷体"/>
          <w:sz w:val="28"/>
          <w:szCs w:val="28"/>
        </w:rPr>
        <w:t>(签章)：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5" w:line="184" w:lineRule="auto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4"/>
          <w:sz w:val="28"/>
          <w:szCs w:val="28"/>
        </w:rPr>
        <w:t>考核</w:t>
      </w:r>
      <w:r>
        <w:rPr>
          <w:rFonts w:ascii="楷体" w:hAnsi="楷体" w:eastAsia="楷体" w:cs="楷体"/>
          <w:spacing w:val="-7"/>
          <w:sz w:val="28"/>
          <w:szCs w:val="28"/>
        </w:rPr>
        <w:t>时间：     年   月   日</w:t>
      </w:r>
    </w:p>
    <w:p>
      <w:pPr>
        <w:sectPr>
          <w:type w:val="continuous"/>
          <w:pgSz w:w="16839" w:h="11906"/>
          <w:pgMar w:top="1012" w:right="2097" w:bottom="400" w:left="1137" w:header="0" w:footer="0" w:gutter="0"/>
          <w:cols w:equalWidth="0" w:num="2">
            <w:col w:w="9870" w:space="100"/>
            <w:col w:w="3634"/>
          </w:cols>
        </w:sectPr>
      </w:pPr>
    </w:p>
    <w:p>
      <w:pPr>
        <w:spacing w:line="71" w:lineRule="exact"/>
      </w:pPr>
    </w:p>
    <w:tbl>
      <w:tblPr>
        <w:tblStyle w:val="4"/>
        <w:tblW w:w="12746" w:type="dxa"/>
        <w:tblInd w:w="8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696"/>
        <w:gridCol w:w="742"/>
        <w:gridCol w:w="3601"/>
        <w:gridCol w:w="4606"/>
        <w:gridCol w:w="882"/>
        <w:gridCol w:w="850"/>
        <w:gridCol w:w="8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30" w:type="dxa"/>
            <w:textDirection w:val="tbRlV"/>
            <w:vAlign w:val="top"/>
          </w:tcPr>
          <w:p>
            <w:pPr>
              <w:spacing w:before="157" w:line="216" w:lineRule="auto"/>
              <w:ind w:left="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序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 xml:space="preserve"> 号</w:t>
            </w:r>
          </w:p>
        </w:tc>
        <w:tc>
          <w:tcPr>
            <w:tcW w:w="696" w:type="dxa"/>
            <w:vAlign w:val="top"/>
          </w:tcPr>
          <w:p>
            <w:pPr>
              <w:spacing w:before="209" w:line="227" w:lineRule="auto"/>
              <w:ind w:left="14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项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目</w:t>
            </w:r>
          </w:p>
        </w:tc>
        <w:tc>
          <w:tcPr>
            <w:tcW w:w="742" w:type="dxa"/>
            <w:vAlign w:val="top"/>
          </w:tcPr>
          <w:p>
            <w:pPr>
              <w:spacing w:before="60" w:line="300" w:lineRule="exact"/>
              <w:ind w:left="16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7"/>
                <w:sz w:val="20"/>
                <w:szCs w:val="20"/>
              </w:rPr>
              <w:t>分</w:t>
            </w:r>
            <w:r>
              <w:rPr>
                <w:rFonts w:ascii="仿宋" w:hAnsi="仿宋" w:eastAsia="仿宋" w:cs="仿宋"/>
                <w:spacing w:val="3"/>
                <w:position w:val="7"/>
                <w:sz w:val="20"/>
                <w:szCs w:val="20"/>
              </w:rPr>
              <w:t>序</w:t>
            </w:r>
          </w:p>
          <w:p>
            <w:pPr>
              <w:spacing w:line="226" w:lineRule="auto"/>
              <w:ind w:left="27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号</w:t>
            </w:r>
          </w:p>
        </w:tc>
        <w:tc>
          <w:tcPr>
            <w:tcW w:w="3601" w:type="dxa"/>
            <w:vAlign w:val="top"/>
          </w:tcPr>
          <w:p>
            <w:pPr>
              <w:spacing w:before="209" w:line="223" w:lineRule="auto"/>
              <w:ind w:left="138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检查内容</w:t>
            </w:r>
          </w:p>
        </w:tc>
        <w:tc>
          <w:tcPr>
            <w:tcW w:w="4606" w:type="dxa"/>
            <w:vAlign w:val="top"/>
          </w:tcPr>
          <w:p>
            <w:pPr>
              <w:spacing w:before="209" w:line="225" w:lineRule="auto"/>
              <w:ind w:left="189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评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分标准</w:t>
            </w:r>
          </w:p>
        </w:tc>
        <w:tc>
          <w:tcPr>
            <w:tcW w:w="882" w:type="dxa"/>
            <w:vAlign w:val="top"/>
          </w:tcPr>
          <w:p>
            <w:pPr>
              <w:spacing w:before="209" w:line="226" w:lineRule="auto"/>
              <w:ind w:left="24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分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值</w:t>
            </w:r>
          </w:p>
        </w:tc>
        <w:tc>
          <w:tcPr>
            <w:tcW w:w="850" w:type="dxa"/>
            <w:vAlign w:val="top"/>
          </w:tcPr>
          <w:p>
            <w:pPr>
              <w:spacing w:before="209" w:line="225" w:lineRule="auto"/>
              <w:ind w:left="15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自</w:t>
            </w: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评分</w:t>
            </w:r>
          </w:p>
        </w:tc>
        <w:tc>
          <w:tcPr>
            <w:tcW w:w="839" w:type="dxa"/>
            <w:vAlign w:val="top"/>
          </w:tcPr>
          <w:p>
            <w:pPr>
              <w:spacing w:before="60" w:line="300" w:lineRule="exact"/>
              <w:ind w:left="2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position w:val="6"/>
                <w:sz w:val="20"/>
                <w:szCs w:val="20"/>
              </w:rPr>
              <w:t>考核</w:t>
            </w:r>
          </w:p>
          <w:p>
            <w:pPr>
              <w:spacing w:line="226" w:lineRule="auto"/>
              <w:ind w:left="3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04" w:hRule="atLeast"/>
        </w:trPr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30" w:line="147" w:lineRule="exact"/>
              <w:ind w:left="179"/>
              <w:rPr>
                <w:rFonts w:ascii="仿宋" w:hAnsi="仿宋" w:eastAsia="仿宋" w:cs="仿宋"/>
                <w:sz w:val="9"/>
                <w:szCs w:val="9"/>
              </w:rPr>
            </w:pPr>
            <w:r>
              <w:rPr>
                <w:rFonts w:ascii="仿宋" w:hAnsi="仿宋" w:eastAsia="仿宋" w:cs="仿宋"/>
                <w:spacing w:val="97"/>
                <w:position w:val="1"/>
                <w:sz w:val="9"/>
                <w:szCs w:val="9"/>
              </w:rPr>
              <w:t>一</w:t>
            </w: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5" w:line="284" w:lineRule="auto"/>
              <w:ind w:left="107" w:right="106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2"/>
                <w:sz w:val="20"/>
                <w:szCs w:val="20"/>
              </w:rPr>
              <w:t>管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 xml:space="preserve"> 理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情 况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0"/>
                <w:szCs w:val="20"/>
              </w:rPr>
              <w:t xml:space="preserve">( </w:t>
            </w:r>
            <w:r>
              <w:rPr>
                <w:rFonts w:ascii="Times New Roman" w:hAnsi="Times New Roman" w:eastAsia="Times New Roman" w:cs="Times New Roman"/>
                <w:spacing w:val="19"/>
                <w:sz w:val="20"/>
                <w:szCs w:val="20"/>
              </w:rPr>
              <w:t>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分)</w:t>
            </w:r>
          </w:p>
        </w:tc>
        <w:tc>
          <w:tcPr>
            <w:tcW w:w="742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601" w:type="dxa"/>
            <w:vAlign w:val="top"/>
          </w:tcPr>
          <w:p>
            <w:pPr>
              <w:spacing w:before="48" w:line="259" w:lineRule="auto"/>
              <w:ind w:left="115" w:right="135" w:firstLine="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医疗机构名称、执业地址等发生变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化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时，及时向医保部门提供相关材料备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案， 申请变更。</w:t>
            </w:r>
          </w:p>
        </w:tc>
        <w:tc>
          <w:tcPr>
            <w:tcW w:w="4606" w:type="dxa"/>
            <w:vAlign w:val="top"/>
          </w:tcPr>
          <w:p>
            <w:pPr>
              <w:spacing w:before="197" w:line="288" w:lineRule="auto"/>
              <w:ind w:left="112" w:right="191" w:firstLine="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经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 xml:space="preserve">有关部门变更之日起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30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个工作日内，未向医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保经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办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 xml:space="preserve">机构申请备案，扣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1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分。</w:t>
            </w:r>
          </w:p>
        </w:tc>
        <w:tc>
          <w:tcPr>
            <w:tcW w:w="882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601" w:type="dxa"/>
            <w:vAlign w:val="top"/>
          </w:tcPr>
          <w:p>
            <w:pPr>
              <w:spacing w:before="46" w:line="267" w:lineRule="auto"/>
              <w:ind w:left="108" w:right="135" w:firstLine="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有健全的医保管理组织机构，有一名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>院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领导分管此项工作，并配备专职人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员； 医疗机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构法人、 医保负责人变动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>及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发生重大事件时能及时向医保经办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机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构报告。</w:t>
            </w:r>
          </w:p>
        </w:tc>
        <w:tc>
          <w:tcPr>
            <w:tcW w:w="4606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65" w:line="285" w:lineRule="auto"/>
              <w:ind w:left="121" w:righ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无医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保管理部门的，扣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1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分，无分管院领导负责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 xml:space="preserve">的，扣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 xml:space="preserve">1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 xml:space="preserve">分，无专职管理人员的，扣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 xml:space="preserve">1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分，重大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 xml:space="preserve">事件不报告的扣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1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分。</w:t>
            </w:r>
          </w:p>
        </w:tc>
        <w:tc>
          <w:tcPr>
            <w:tcW w:w="882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before="235" w:line="195" w:lineRule="auto"/>
              <w:ind w:left="32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601" w:type="dxa"/>
            <w:vAlign w:val="top"/>
          </w:tcPr>
          <w:p>
            <w:pPr>
              <w:spacing w:before="48" w:line="250" w:lineRule="auto"/>
              <w:ind w:left="116" w:right="187" w:hanging="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是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否与医保经办机构签订服务协议，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并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保存完好。</w:t>
            </w:r>
          </w:p>
        </w:tc>
        <w:tc>
          <w:tcPr>
            <w:tcW w:w="4606" w:type="dxa"/>
            <w:vAlign w:val="top"/>
          </w:tcPr>
          <w:p>
            <w:pPr>
              <w:spacing w:before="199" w:line="223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未保存协议该项不得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分</w:t>
            </w:r>
          </w:p>
        </w:tc>
        <w:tc>
          <w:tcPr>
            <w:tcW w:w="882" w:type="dxa"/>
            <w:vAlign w:val="top"/>
          </w:tcPr>
          <w:p>
            <w:pPr>
              <w:spacing w:before="235" w:line="195" w:lineRule="auto"/>
              <w:ind w:left="4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3601" w:type="dxa"/>
            <w:vAlign w:val="top"/>
          </w:tcPr>
          <w:p>
            <w:pPr>
              <w:spacing w:before="50" w:line="264" w:lineRule="auto"/>
              <w:ind w:left="107" w:righ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>是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否结合实际制定履行协议规章制度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>和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具体措施，院内定期安排有检查、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>考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核，有总结分析，并落实奖惩与整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改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。</w:t>
            </w:r>
          </w:p>
        </w:tc>
        <w:tc>
          <w:tcPr>
            <w:tcW w:w="4606" w:type="dxa"/>
            <w:vAlign w:val="top"/>
          </w:tcPr>
          <w:p>
            <w:pPr>
              <w:spacing w:before="200" w:line="286" w:lineRule="auto"/>
              <w:ind w:left="110" w:right="51" w:firstLine="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无规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章、措施扣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1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分，每年检查、考核等不少于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2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 xml:space="preserve">次，缺一次扣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1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分，无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跟踪分析并未积极整改，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扣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 xml:space="preserve">1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分。</w:t>
            </w:r>
          </w:p>
        </w:tc>
        <w:tc>
          <w:tcPr>
            <w:tcW w:w="882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5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57" w:line="192" w:lineRule="auto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3601" w:type="dxa"/>
            <w:vAlign w:val="top"/>
          </w:tcPr>
          <w:p>
            <w:pPr>
              <w:spacing w:before="49" w:line="267" w:lineRule="auto"/>
              <w:ind w:left="105" w:right="135" w:firstLine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>是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否实现与医保信息系统有效对接，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是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否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有专人负责信息系统管理，能按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要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求配备系统软件、硬件、 网络等设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备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，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及时做好系统维护升级、数据上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传，确保数据完整，系统安全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。</w:t>
            </w:r>
          </w:p>
        </w:tc>
        <w:tc>
          <w:tcPr>
            <w:tcW w:w="460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65" w:line="285" w:lineRule="auto"/>
              <w:ind w:left="114" w:right="5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>未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按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照要求实现与医保信息系统有效对接，该项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 xml:space="preserve">不得分；未按照要求及时做好升级维护，扣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 xml:space="preserve">2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；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未及时准确上传信息数据，扣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2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分。</w:t>
            </w:r>
          </w:p>
        </w:tc>
        <w:tc>
          <w:tcPr>
            <w:tcW w:w="882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6839" w:h="11906"/>
          <w:pgMar w:top="1012" w:right="2097" w:bottom="400" w:left="1137" w:header="0" w:footer="0" w:gutter="0"/>
          <w:cols w:equalWidth="0" w:num="1">
            <w:col w:w="13604"/>
          </w:cols>
        </w:sectPr>
      </w:pPr>
    </w:p>
    <w:p/>
    <w:p/>
    <w:p>
      <w:pPr>
        <w:spacing w:line="92" w:lineRule="exact"/>
      </w:pPr>
    </w:p>
    <w:tbl>
      <w:tblPr>
        <w:tblStyle w:val="4"/>
        <w:tblW w:w="12746" w:type="dxa"/>
        <w:tblInd w:w="8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696"/>
        <w:gridCol w:w="742"/>
        <w:gridCol w:w="3601"/>
        <w:gridCol w:w="4606"/>
        <w:gridCol w:w="882"/>
        <w:gridCol w:w="850"/>
        <w:gridCol w:w="8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3601" w:type="dxa"/>
            <w:vAlign w:val="top"/>
          </w:tcPr>
          <w:p>
            <w:pPr>
              <w:spacing w:before="243" w:line="289" w:lineRule="auto"/>
              <w:ind w:left="107" w:righ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>是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否履行参保人员资格审核、落实医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保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待遇政策。</w:t>
            </w:r>
          </w:p>
        </w:tc>
        <w:tc>
          <w:tcPr>
            <w:tcW w:w="4606" w:type="dxa"/>
            <w:vAlign w:val="top"/>
          </w:tcPr>
          <w:p>
            <w:pPr>
              <w:spacing w:before="243" w:line="289" w:lineRule="auto"/>
              <w:ind w:left="116" w:right="104" w:hanging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未按规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定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核实参保人员信息扣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1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分，未建立备案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 xml:space="preserve">登记制度和台账扣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 xml:space="preserve">1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分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。</w:t>
            </w:r>
          </w:p>
        </w:tc>
        <w:tc>
          <w:tcPr>
            <w:tcW w:w="882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9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58" w:line="192" w:lineRule="auto"/>
              <w:ind w:left="3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3601" w:type="dxa"/>
            <w:vAlign w:val="top"/>
          </w:tcPr>
          <w:p>
            <w:pPr>
              <w:spacing w:before="88" w:line="277" w:lineRule="auto"/>
              <w:ind w:left="106" w:right="106" w:firstLine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是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否配合医疗保险经办机构推行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DIP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、总额预付等多种医保基金支付结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算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方式，做好相关工作。</w:t>
            </w:r>
          </w:p>
        </w:tc>
        <w:tc>
          <w:tcPr>
            <w:tcW w:w="4606" w:type="dxa"/>
            <w:vAlign w:val="top"/>
          </w:tcPr>
          <w:p>
            <w:pPr>
              <w:spacing w:before="238" w:line="290" w:lineRule="auto"/>
              <w:ind w:left="118" w:righ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>不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主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动积极配合支付方式改革工作，推动工作不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 xml:space="preserve">力的，扣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仿宋" w:hAnsi="仿宋" w:eastAsia="仿宋" w:cs="仿宋"/>
                <w:sz w:val="20"/>
                <w:szCs w:val="20"/>
              </w:rPr>
              <w:t>分。</w:t>
            </w:r>
          </w:p>
        </w:tc>
        <w:tc>
          <w:tcPr>
            <w:tcW w:w="882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9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3601" w:type="dxa"/>
            <w:vAlign w:val="top"/>
          </w:tcPr>
          <w:p>
            <w:pPr>
              <w:spacing w:before="48" w:line="277" w:lineRule="auto"/>
              <w:ind w:left="107" w:right="135"/>
              <w:jc w:val="righ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>是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否严格执行门诊明细清单和住院一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日清单制度，收费与病历、处方等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一</w:t>
            </w:r>
          </w:p>
          <w:p>
            <w:pPr>
              <w:spacing w:line="250" w:lineRule="auto"/>
              <w:ind w:left="108" w:right="135" w:firstLine="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致，高值耗材、药品等进销存与实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际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相符。</w:t>
            </w:r>
          </w:p>
        </w:tc>
        <w:tc>
          <w:tcPr>
            <w:tcW w:w="4606" w:type="dxa"/>
            <w:vAlign w:val="top"/>
          </w:tcPr>
          <w:p>
            <w:pPr>
              <w:spacing w:before="196" w:line="286" w:lineRule="auto"/>
              <w:ind w:left="120" w:right="104" w:hanging="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未执行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一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 日清单扣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2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分，以药易药、诊疗项目与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实际不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相符，或记账与病历、 医嘱等不相符的，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 xml:space="preserve">扣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 xml:space="preserve">2 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分。</w:t>
            </w:r>
          </w:p>
        </w:tc>
        <w:tc>
          <w:tcPr>
            <w:tcW w:w="882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2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3601" w:type="dxa"/>
            <w:vAlign w:val="top"/>
          </w:tcPr>
          <w:p>
            <w:pPr>
              <w:spacing w:before="49" w:line="259" w:lineRule="auto"/>
              <w:ind w:left="111" w:righ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按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照规定保管财务账目、记账凭证、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药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品和医疗器械出入库记录等涉及基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金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使用的相关资料。</w:t>
            </w:r>
          </w:p>
        </w:tc>
        <w:tc>
          <w:tcPr>
            <w:tcW w:w="4606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65" w:line="224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未建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立登记台账，不能提供相应资料的，扣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 xml:space="preserve">2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分。</w:t>
            </w:r>
          </w:p>
        </w:tc>
        <w:tc>
          <w:tcPr>
            <w:tcW w:w="882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9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5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0</w:t>
            </w:r>
          </w:p>
        </w:tc>
        <w:tc>
          <w:tcPr>
            <w:tcW w:w="3601" w:type="dxa"/>
            <w:vAlign w:val="top"/>
          </w:tcPr>
          <w:p>
            <w:pPr>
              <w:spacing w:before="47" w:line="260" w:lineRule="auto"/>
              <w:ind w:left="110" w:right="135" w:hanging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>是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否存在超范围执业、将不具备医保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结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算资格的分支机构或其他机构的医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疗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费用纳入申报结算范围。</w:t>
            </w:r>
          </w:p>
        </w:tc>
        <w:tc>
          <w:tcPr>
            <w:tcW w:w="4606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65" w:line="224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发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现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1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例违约行为扣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4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分。</w:t>
            </w:r>
          </w:p>
        </w:tc>
        <w:tc>
          <w:tcPr>
            <w:tcW w:w="882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65" w:line="188" w:lineRule="auto"/>
              <w:ind w:left="17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二</w:t>
            </w: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>
            <w:pPr>
              <w:spacing w:before="231" w:line="280" w:lineRule="auto"/>
              <w:ind w:left="107" w:right="106" w:firstLine="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3"/>
                <w:sz w:val="20"/>
                <w:szCs w:val="20"/>
              </w:rPr>
              <w:t>结</w:t>
            </w:r>
            <w:r>
              <w:rPr>
                <w:rFonts w:ascii="仿宋" w:hAnsi="仿宋" w:eastAsia="仿宋" w:cs="仿宋"/>
                <w:spacing w:val="-12"/>
                <w:sz w:val="20"/>
                <w:szCs w:val="20"/>
              </w:rPr>
              <w:t xml:space="preserve"> 算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标 准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和 住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院 费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用 控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制 情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况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19"/>
                <w:sz w:val="20"/>
                <w:szCs w:val="20"/>
              </w:rPr>
              <w:t xml:space="preserve">( </w:t>
            </w:r>
            <w:r>
              <w:rPr>
                <w:rFonts w:ascii="Times New Roman" w:hAnsi="Times New Roman" w:eastAsia="Times New Roman" w:cs="Times New Roman"/>
                <w:spacing w:val="19"/>
                <w:sz w:val="20"/>
                <w:szCs w:val="20"/>
              </w:rPr>
              <w:t>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分)</w:t>
            </w:r>
          </w:p>
        </w:tc>
        <w:tc>
          <w:tcPr>
            <w:tcW w:w="742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</w:t>
            </w:r>
          </w:p>
        </w:tc>
        <w:tc>
          <w:tcPr>
            <w:tcW w:w="3601" w:type="dxa"/>
            <w:vAlign w:val="top"/>
          </w:tcPr>
          <w:p>
            <w:pPr>
              <w:spacing w:before="61" w:line="266" w:lineRule="auto"/>
              <w:ind w:left="115" w:right="116" w:hanging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按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病种付费住院结算执行率是否达到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总数的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20%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以上。 同一病种的单病种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 xml:space="preserve">执行率应当不低于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60%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。</w:t>
            </w:r>
          </w:p>
        </w:tc>
        <w:tc>
          <w:tcPr>
            <w:tcW w:w="4606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5" w:line="225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低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于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 xml:space="preserve">标准的扣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3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分，扣完为止。</w:t>
            </w:r>
          </w:p>
        </w:tc>
        <w:tc>
          <w:tcPr>
            <w:tcW w:w="882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2</w:t>
            </w:r>
          </w:p>
        </w:tc>
        <w:tc>
          <w:tcPr>
            <w:tcW w:w="360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5" w:line="225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是否有控费措施，措施是否有成效。</w:t>
            </w:r>
          </w:p>
        </w:tc>
        <w:tc>
          <w:tcPr>
            <w:tcW w:w="4606" w:type="dxa"/>
            <w:vAlign w:val="top"/>
          </w:tcPr>
          <w:p>
            <w:pPr>
              <w:spacing w:before="62" w:line="267" w:lineRule="auto"/>
              <w:ind w:left="114" w:right="103" w:firstLine="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无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控费管理办法或有制度未落实，扣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1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分；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2022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度参保人员住院费用实际支出额超过定额费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 xml:space="preserve">用总额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10%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的扣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4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 xml:space="preserve">分，超过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20%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的扣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4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分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。</w:t>
            </w:r>
          </w:p>
        </w:tc>
        <w:tc>
          <w:tcPr>
            <w:tcW w:w="882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5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3</w:t>
            </w:r>
          </w:p>
        </w:tc>
        <w:tc>
          <w:tcPr>
            <w:tcW w:w="3601" w:type="dxa"/>
            <w:vAlign w:val="top"/>
          </w:tcPr>
          <w:p>
            <w:pPr>
              <w:spacing w:before="51" w:line="264" w:lineRule="auto"/>
              <w:ind w:left="107" w:righ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>是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否严格执行集采政策，按计划完成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>国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家组织药品和耗材集中采购和使用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>的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任务，并优先使用中选产品；是否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及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时与中选企业结算。</w:t>
            </w:r>
          </w:p>
        </w:tc>
        <w:tc>
          <w:tcPr>
            <w:tcW w:w="4606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5" w:line="289" w:lineRule="auto"/>
              <w:ind w:left="119" w:right="104" w:hanging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未完成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集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采任务扣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3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分；与中选企业结算回款超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过规定时限扣</w:t>
            </w: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 xml:space="preserve">2 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分</w:t>
            </w:r>
          </w:p>
        </w:tc>
        <w:tc>
          <w:tcPr>
            <w:tcW w:w="8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58" w:line="192" w:lineRule="auto"/>
              <w:ind w:left="3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9" w:h="11906"/>
          <w:pgMar w:top="1012" w:right="2113" w:bottom="400" w:left="1137" w:header="0" w:footer="0" w:gutter="0"/>
          <w:cols w:space="720" w:num="1"/>
        </w:sectPr>
      </w:pPr>
    </w:p>
    <w:p>
      <w: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657225</wp:posOffset>
                </wp:positionH>
                <wp:positionV relativeFrom="page">
                  <wp:posOffset>6377940</wp:posOffset>
                </wp:positionV>
                <wp:extent cx="198120" cy="320040"/>
                <wp:effectExtent l="0" t="60960" r="0" b="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657849" y="6378180"/>
                          <a:ext cx="198120" cy="320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" w:line="189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51.75pt;margin-top:502.2pt;height:25.2pt;width:15.6pt;mso-position-horizontal-relative:page;mso-position-vertical-relative:page;rotation:5898240f;z-index:251659264;mso-width-relative:page;mso-height-relative:page;" filled="f" stroked="f" coordsize="21600,21600" o:allowincell="f" o:gfxdata="UEsDBAoAAAAAAIdO4kAAAAAAAAAAAAAAAAAEAAAAZHJzL1BLAwQUAAAACACHTuJAfNAlEtYAAAAN&#10;AQAADwAAAGRycy9kb3ducmV2LnhtbE2PwU7DMBBE70j8g7VI3Khd6kIV4lQCkRsX2nLfxEscNbYj&#10;20nL3+Oc4LazO5p9U+6vdmAzhdh7p2C9EsDItV73rlNwOtYPO2AxodM4eEcKfijCvrq9KbHQ/uI+&#10;aT6kjuUQFwtUYFIaC85ja8hiXPmRXL59+2AxZRk6rgNecrgd+KMQT9xi7/IHgyO9GWrPh8kqkK81&#10;Pxv51XRmnj481QFP741S93dr8QIs0TX9mWHBz+hQZabGT05HNmQtNttsXQYhJbDFspHPwJpltZU7&#10;4FXJ/7eofgFQSwMEFAAAAAgAh07iQBHn7mwvAgAAaQQAAA4AAABkcnMvZTJvRG9jLnhtbK1UwU7c&#10;MBC9V+o/WL6X7AILy4os2oKoKqGCtFQ9ex1nE8n2uLaXhH59n52EtrQHDt1DNBm/vJn3ZryXV73R&#10;7En50JIt+fxoxpmykqrW7kv+9fH2w5KzEIWthCarSv6sAr9av3932bmVOqaGdKU8A4kNq86VvInR&#10;rYoiyEYZEY7IKYvDmrwREa9+X1RedGA3ujiezc6KjnzlPEkVArI3wyEfGf1bCKmuW6luSB6MsnFg&#10;9UqLCEmhaV3g69xtXSsZ7+s6qMh0yaE05ieKIN6lZ7G+FKu9F65p5diCeEsLrzQZ0VoUfaG6EVGw&#10;g2//ojKt9BSojkeSTDEIyY5AxXz2ypttI5zKWmB1cC+mh/9HK788PXjWViVfcGaFwcAfVR8/Us8W&#10;yZzOhRUwWwdU7JHGykz5gGTS3NfeME/wdnE6S7/sBLQxoM8W58vTC86eEZ6cL+fL0XMUYTKxXSzn&#10;x5iGBOAE+3Gaz4uBNbE7H+InRYaloOQeI8384ukuRHQI6ARJcEu3rdZ5rNqyLs34jzTg2uKrJGwQ&#10;kKLY7/pR7Y6qZ4jNetBXcPK2ReU7EeKD8FgOJHF94j0etSZUoDHirCH/41/5hMfMcMpZh2Urefh+&#10;EF5xpj9bTBOUcQr8FOymwB7MNWF/57mbHOIDH/UU1p7MN9yqTaqCI2ElapU8TuF1HFYet1KqzSaD&#10;sH9OxDu7dTJRDyZtDpHqNtuabBm8GN3CBma3x9uSVvz394z69Q+x/g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80CUS1gAAAA0BAAAPAAAAAAAAAAEAIAAAACIAAABkcnMvZG93bnJldi54bWxQSwEC&#10;FAAUAAAACACHTuJAEefubC8CAABpBAAADgAAAAAAAAABACAAAAAlAQAAZHJzL2Uyb0RvYy54bWxQ&#10;SwUGAAAAAAYABgBZAQAAxg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189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spacing w:line="92" w:lineRule="exact"/>
      </w:pPr>
    </w:p>
    <w:tbl>
      <w:tblPr>
        <w:tblStyle w:val="4"/>
        <w:tblW w:w="12746" w:type="dxa"/>
        <w:tblInd w:w="8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696"/>
        <w:gridCol w:w="742"/>
        <w:gridCol w:w="3601"/>
        <w:gridCol w:w="4606"/>
        <w:gridCol w:w="882"/>
        <w:gridCol w:w="850"/>
        <w:gridCol w:w="8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5" w:line="265" w:lineRule="exact"/>
              <w:ind w:left="1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三</w:t>
            </w: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5" w:line="284" w:lineRule="auto"/>
              <w:ind w:left="107" w:right="106" w:firstLine="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服 务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质 量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0"/>
                <w:szCs w:val="20"/>
              </w:rPr>
              <w:t xml:space="preserve">( </w:t>
            </w:r>
            <w:r>
              <w:rPr>
                <w:rFonts w:ascii="Times New Roman" w:hAnsi="Times New Roman" w:eastAsia="Times New Roman" w:cs="Times New Roman"/>
                <w:spacing w:val="19"/>
                <w:sz w:val="20"/>
                <w:szCs w:val="20"/>
              </w:rPr>
              <w:t>47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分)</w:t>
            </w:r>
          </w:p>
        </w:tc>
        <w:tc>
          <w:tcPr>
            <w:tcW w:w="742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4</w:t>
            </w:r>
          </w:p>
        </w:tc>
        <w:tc>
          <w:tcPr>
            <w:tcW w:w="3601" w:type="dxa"/>
            <w:vAlign w:val="top"/>
          </w:tcPr>
          <w:p>
            <w:pPr>
              <w:spacing w:before="253" w:line="288" w:lineRule="auto"/>
              <w:ind w:left="112" w:right="135" w:hanging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>是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否严格执行双向转诊制度。是否存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在伪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造、涂改医疗记录、 医疗文书。</w:t>
            </w:r>
          </w:p>
        </w:tc>
        <w:tc>
          <w:tcPr>
            <w:tcW w:w="4606" w:type="dxa"/>
            <w:vAlign w:val="top"/>
          </w:tcPr>
          <w:p>
            <w:pPr>
              <w:spacing w:before="102" w:line="280" w:lineRule="auto"/>
              <w:ind w:left="116" w:right="42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无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 xml:space="preserve">双向转诊制度或有双向转诊制度不执行扣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分，有条件医治但拒收参保患者的扣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2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分，伪造、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涂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改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 xml:space="preserve">医疗文书发现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1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例扣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2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分，扣完为止。</w:t>
            </w:r>
          </w:p>
        </w:tc>
        <w:tc>
          <w:tcPr>
            <w:tcW w:w="882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5</w:t>
            </w:r>
          </w:p>
        </w:tc>
        <w:tc>
          <w:tcPr>
            <w:tcW w:w="3601" w:type="dxa"/>
            <w:vAlign w:val="top"/>
          </w:tcPr>
          <w:p>
            <w:pPr>
              <w:spacing w:before="120" w:line="289" w:lineRule="auto"/>
              <w:ind w:left="110" w:right="135" w:hanging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>是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否为参保人员提供合理、必要的医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 xml:space="preserve">疗服务，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医保结算规范、便捷。</w:t>
            </w:r>
          </w:p>
        </w:tc>
        <w:tc>
          <w:tcPr>
            <w:tcW w:w="4606" w:type="dxa"/>
            <w:vAlign w:val="top"/>
          </w:tcPr>
          <w:p>
            <w:pPr>
              <w:spacing w:before="121" w:line="289" w:lineRule="auto"/>
              <w:ind w:left="110" w:right="144" w:firstLine="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 xml:space="preserve">违反医保政策规定，不符合诊疗常规，扣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2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分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；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超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范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围诊治、超标准收费的，扣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2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分。</w:t>
            </w:r>
          </w:p>
        </w:tc>
        <w:tc>
          <w:tcPr>
            <w:tcW w:w="882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6</w:t>
            </w:r>
          </w:p>
        </w:tc>
        <w:tc>
          <w:tcPr>
            <w:tcW w:w="3601" w:type="dxa"/>
            <w:vAlign w:val="top"/>
          </w:tcPr>
          <w:p>
            <w:pPr>
              <w:spacing w:before="171" w:line="292" w:lineRule="auto"/>
              <w:ind w:left="112" w:right="168" w:firstLine="2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医保住院病人治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愈好转率高于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85%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，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入院诊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断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 xml:space="preserve">符合率大于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90%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。</w:t>
            </w:r>
          </w:p>
        </w:tc>
        <w:tc>
          <w:tcPr>
            <w:tcW w:w="4606" w:type="dxa"/>
            <w:vAlign w:val="top"/>
          </w:tcPr>
          <w:p>
            <w:pPr>
              <w:spacing w:before="58" w:line="267" w:lineRule="auto"/>
              <w:ind w:left="120" w:right="103" w:hanging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按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 xml:space="preserve">要求住院抽查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20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份病例及相关资料，治愈好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 xml:space="preserve">转率低于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85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%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扣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分，入院诊断符合率低于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90% 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 xml:space="preserve">扣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 xml:space="preserve">3 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分。</w:t>
            </w:r>
          </w:p>
        </w:tc>
        <w:tc>
          <w:tcPr>
            <w:tcW w:w="882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7</w:t>
            </w:r>
          </w:p>
        </w:tc>
        <w:tc>
          <w:tcPr>
            <w:tcW w:w="3601" w:type="dxa"/>
            <w:vAlign w:val="top"/>
          </w:tcPr>
          <w:p>
            <w:pPr>
              <w:tabs>
                <w:tab w:val="left" w:pos="207"/>
              </w:tabs>
              <w:spacing w:before="12" w:line="275" w:lineRule="auto"/>
              <w:ind w:left="105" w:right="106" w:firstLine="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大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型设备检查阳性率是否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≧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75%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仿宋" w:hAnsi="仿宋" w:eastAsia="仿宋" w:cs="仿宋"/>
                <w:sz w:val="20"/>
                <w:szCs w:val="20"/>
              </w:rPr>
              <w:tab/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 xml:space="preserve">(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MRI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 xml:space="preserve"> 80%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CT≥70%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 xml:space="preserve">，常规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 xml:space="preserve">X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线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≥5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0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%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) ，住院期间检查费用占住院费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 xml:space="preserve">用比例不超过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35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4606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65" w:line="290" w:lineRule="auto"/>
              <w:ind w:left="110" w:right="104" w:firstLine="2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性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率低于标准的，每项扣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2 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分，检查费用占比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 xml:space="preserve">超过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35%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 xml:space="preserve">的，扣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3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分，扣完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为</w:t>
            </w:r>
            <w:r>
              <w:rPr>
                <w:rFonts w:ascii="仿宋" w:hAnsi="仿宋" w:eastAsia="仿宋" w:cs="仿宋"/>
                <w:sz w:val="20"/>
                <w:szCs w:val="20"/>
              </w:rPr>
              <w:t>止</w:t>
            </w:r>
          </w:p>
        </w:tc>
        <w:tc>
          <w:tcPr>
            <w:tcW w:w="882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8</w:t>
            </w:r>
          </w:p>
        </w:tc>
        <w:tc>
          <w:tcPr>
            <w:tcW w:w="3601" w:type="dxa"/>
            <w:vAlign w:val="top"/>
          </w:tcPr>
          <w:p>
            <w:pPr>
              <w:spacing w:before="59" w:line="260" w:lineRule="auto"/>
              <w:ind w:left="110" w:right="135" w:hanging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>及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时、准确向参保人员提供医疗费用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查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询服务和费用清单，并承担其解释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责任。</w:t>
            </w:r>
          </w:p>
        </w:tc>
        <w:tc>
          <w:tcPr>
            <w:tcW w:w="4606" w:type="dxa"/>
            <w:vAlign w:val="top"/>
          </w:tcPr>
          <w:p>
            <w:pPr>
              <w:spacing w:before="58" w:line="260" w:lineRule="auto"/>
              <w:ind w:left="113" w:right="104" w:firstLine="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5"/>
                <w:sz w:val="20"/>
                <w:szCs w:val="20"/>
              </w:rPr>
              <w:t>结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合日常监管掌握情况，及在检查中发现、或未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>履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行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告知义务，或错误宣传医保政策，患者投诉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情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况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 xml:space="preserve">属实的，发现一例扣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1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分。</w:t>
            </w:r>
          </w:p>
        </w:tc>
        <w:tc>
          <w:tcPr>
            <w:tcW w:w="882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9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9</w:t>
            </w:r>
          </w:p>
        </w:tc>
        <w:tc>
          <w:tcPr>
            <w:tcW w:w="3601" w:type="dxa"/>
            <w:vAlign w:val="top"/>
          </w:tcPr>
          <w:p>
            <w:pPr>
              <w:spacing w:before="114" w:line="287" w:lineRule="auto"/>
              <w:ind w:left="147" w:right="135" w:hanging="4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>是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否开展医疗保险一站式服务、一窗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口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办理、一单式结算。</w:t>
            </w:r>
          </w:p>
        </w:tc>
        <w:tc>
          <w:tcPr>
            <w:tcW w:w="4606" w:type="dxa"/>
            <w:vAlign w:val="top"/>
          </w:tcPr>
          <w:p>
            <w:pPr>
              <w:spacing w:before="114" w:line="287" w:lineRule="auto"/>
              <w:ind w:left="121" w:right="104" w:firstLine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职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工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医保 (含生育) 、城乡居民医保和医疗救助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结算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情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 xml:space="preserve">况，未落实的扣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 xml:space="preserve">3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分。</w:t>
            </w:r>
          </w:p>
        </w:tc>
        <w:tc>
          <w:tcPr>
            <w:tcW w:w="882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</w:t>
            </w:r>
          </w:p>
        </w:tc>
        <w:tc>
          <w:tcPr>
            <w:tcW w:w="3601" w:type="dxa"/>
            <w:vAlign w:val="top"/>
          </w:tcPr>
          <w:p>
            <w:pPr>
              <w:spacing w:before="49" w:line="260" w:lineRule="auto"/>
              <w:ind w:left="112" w:right="135" w:firstLine="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向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参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保人员宣传医疗保险政策、就医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结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算流程及医疗服务内容等，为参保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0"/>
                <w:szCs w:val="20"/>
              </w:rPr>
              <w:t>人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员提供政策咨询、查询服务。</w:t>
            </w:r>
          </w:p>
        </w:tc>
        <w:tc>
          <w:tcPr>
            <w:tcW w:w="4606" w:type="dxa"/>
            <w:vAlign w:val="top"/>
          </w:tcPr>
          <w:p>
            <w:pPr>
              <w:spacing w:before="200" w:line="289" w:lineRule="auto"/>
              <w:ind w:left="110" w:right="104" w:firstLine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>未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开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展医保政策、就医和结算流程等宣传的，扣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分；未提供相关咨询服务的，扣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2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分。</w:t>
            </w:r>
          </w:p>
        </w:tc>
        <w:tc>
          <w:tcPr>
            <w:tcW w:w="882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3601" w:type="dxa"/>
            <w:vAlign w:val="top"/>
          </w:tcPr>
          <w:p>
            <w:pPr>
              <w:spacing w:before="211" w:line="289" w:lineRule="auto"/>
              <w:ind w:left="109" w:right="135" w:firstLine="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医保电子凭证应用情况、贯标工作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落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地应用情况。</w:t>
            </w:r>
          </w:p>
        </w:tc>
        <w:tc>
          <w:tcPr>
            <w:tcW w:w="4606" w:type="dxa"/>
            <w:vAlign w:val="top"/>
          </w:tcPr>
          <w:p>
            <w:pPr>
              <w:spacing w:before="61" w:line="260" w:lineRule="auto"/>
              <w:ind w:left="115" w:right="104" w:hanging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是否全面支持电子医保凭证使用，配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备终端；( 无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终端此项不得分) ；贯标工作是否落地应用 (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未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完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成不得分)</w:t>
            </w:r>
          </w:p>
        </w:tc>
        <w:tc>
          <w:tcPr>
            <w:tcW w:w="882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57" w:line="192" w:lineRule="auto"/>
              <w:ind w:left="3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5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3601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5" w:line="225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异地就医直接结算落实情况。</w:t>
            </w:r>
          </w:p>
        </w:tc>
        <w:tc>
          <w:tcPr>
            <w:tcW w:w="4606" w:type="dxa"/>
            <w:vAlign w:val="top"/>
          </w:tcPr>
          <w:p>
            <w:pPr>
              <w:spacing w:before="62" w:line="260" w:lineRule="auto"/>
              <w:ind w:left="112" w:right="104" w:firstLine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未设立异地就医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结算窗 口，扣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 xml:space="preserve">1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分；可以进行异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地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就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医直接结算不进行网上结算，推诿异地患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者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，要求患者现金垫付的，扣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2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分。</w:t>
            </w:r>
          </w:p>
        </w:tc>
        <w:tc>
          <w:tcPr>
            <w:tcW w:w="882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9" w:h="11906"/>
          <w:pgMar w:top="1012" w:right="2113" w:bottom="400" w:left="1137" w:header="0" w:footer="0" w:gutter="0"/>
          <w:cols w:space="720" w:num="1"/>
        </w:sectPr>
      </w:pPr>
    </w:p>
    <w:p/>
    <w:p/>
    <w:p>
      <w:pPr>
        <w:spacing w:line="92" w:lineRule="exact"/>
      </w:pPr>
    </w:p>
    <w:tbl>
      <w:tblPr>
        <w:tblStyle w:val="4"/>
        <w:tblW w:w="12746" w:type="dxa"/>
        <w:tblInd w:w="8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696"/>
        <w:gridCol w:w="742"/>
        <w:gridCol w:w="3601"/>
        <w:gridCol w:w="4606"/>
        <w:gridCol w:w="882"/>
        <w:gridCol w:w="850"/>
        <w:gridCol w:w="8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</w:t>
            </w:r>
          </w:p>
        </w:tc>
        <w:tc>
          <w:tcPr>
            <w:tcW w:w="3601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5" w:line="224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前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期门诊共济保障制度落实情况。</w:t>
            </w:r>
          </w:p>
        </w:tc>
        <w:tc>
          <w:tcPr>
            <w:tcW w:w="4606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5" w:line="223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是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否积极宣传门诊共济相关政策并严格落实。</w:t>
            </w:r>
          </w:p>
        </w:tc>
        <w:tc>
          <w:tcPr>
            <w:tcW w:w="882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9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4</w:t>
            </w:r>
          </w:p>
        </w:tc>
        <w:tc>
          <w:tcPr>
            <w:tcW w:w="3601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65" w:line="289" w:lineRule="auto"/>
              <w:ind w:left="118" w:right="229" w:hanging="5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8"/>
                <w:sz w:val="20"/>
                <w:szCs w:val="20"/>
              </w:rPr>
              <w:t>“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两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病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”“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慢病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”“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特药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”“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日间手术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”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落实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情</w:t>
            </w:r>
            <w:r>
              <w:rPr>
                <w:rFonts w:ascii="仿宋" w:hAnsi="仿宋" w:eastAsia="仿宋" w:cs="仿宋"/>
                <w:sz w:val="20"/>
                <w:szCs w:val="20"/>
              </w:rPr>
              <w:t>况</w:t>
            </w:r>
          </w:p>
        </w:tc>
        <w:tc>
          <w:tcPr>
            <w:tcW w:w="4606" w:type="dxa"/>
            <w:vAlign w:val="top"/>
          </w:tcPr>
          <w:p>
            <w:pPr>
              <w:spacing w:before="46" w:line="264" w:lineRule="auto"/>
              <w:ind w:left="116" w:right="104" w:firstLine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不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进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 xml:space="preserve">行网上直接结算要求患者现金垫付的，扣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>分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；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在门诊慢性病、两病、特殊药品审核鉴定中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把关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不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严的，扣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2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分；未妥善保管认定资料及结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算发票的，扣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 xml:space="preserve">2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分。</w:t>
            </w:r>
          </w:p>
        </w:tc>
        <w:tc>
          <w:tcPr>
            <w:tcW w:w="882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5" w:line="238" w:lineRule="auto"/>
              <w:ind w:left="19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四</w:t>
            </w: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5" w:line="280" w:lineRule="auto"/>
              <w:ind w:left="138" w:right="137" w:firstLine="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开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展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打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击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欺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诈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骗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取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医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保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基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金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情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况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分)</w:t>
            </w:r>
          </w:p>
        </w:tc>
        <w:tc>
          <w:tcPr>
            <w:tcW w:w="742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5</w:t>
            </w:r>
          </w:p>
        </w:tc>
        <w:tc>
          <w:tcPr>
            <w:tcW w:w="3601" w:type="dxa"/>
            <w:vAlign w:val="top"/>
          </w:tcPr>
          <w:p>
            <w:pPr>
              <w:spacing w:before="49" w:line="264" w:lineRule="auto"/>
              <w:ind w:left="105" w:right="135" w:firstLine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是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否组织打击欺诈骗保专项学习宣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传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、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张贴宣传资料、开展自查自纠，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是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否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有整改措施，有无违法、违规行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为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，并受到查处。</w:t>
            </w:r>
          </w:p>
        </w:tc>
        <w:tc>
          <w:tcPr>
            <w:tcW w:w="4606" w:type="dxa"/>
            <w:vAlign w:val="top"/>
          </w:tcPr>
          <w:p>
            <w:pPr>
              <w:spacing w:before="198" w:line="285" w:lineRule="auto"/>
              <w:ind w:left="121" w:righ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无学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习宣传资料扣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1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分，未按要求开展自查自纠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 xml:space="preserve">扣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2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分，有违规行为受到查处此项不得分，有违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规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行为无整改措施扣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2 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分。</w:t>
            </w:r>
          </w:p>
        </w:tc>
        <w:tc>
          <w:tcPr>
            <w:tcW w:w="882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spacing w:before="57" w:line="192" w:lineRule="auto"/>
              <w:ind w:left="3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6</w:t>
            </w:r>
          </w:p>
        </w:tc>
        <w:tc>
          <w:tcPr>
            <w:tcW w:w="3601" w:type="dxa"/>
            <w:vAlign w:val="top"/>
          </w:tcPr>
          <w:p>
            <w:pPr>
              <w:spacing w:before="208" w:line="289" w:lineRule="auto"/>
              <w:ind w:left="128" w:right="135" w:hanging="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>是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否存在扩大医保个人账户使用范围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的行</w:t>
            </w:r>
            <w:r>
              <w:rPr>
                <w:rFonts w:ascii="仿宋" w:hAnsi="仿宋" w:eastAsia="仿宋" w:cs="仿宋"/>
                <w:sz w:val="20"/>
                <w:szCs w:val="20"/>
              </w:rPr>
              <w:t>为。</w:t>
            </w:r>
          </w:p>
        </w:tc>
        <w:tc>
          <w:tcPr>
            <w:tcW w:w="4606" w:type="dxa"/>
            <w:vAlign w:val="top"/>
          </w:tcPr>
          <w:p>
            <w:pPr>
              <w:spacing w:before="59" w:line="260" w:lineRule="auto"/>
              <w:ind w:left="109" w:right="104" w:firstLine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>存在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将美容、非功能性整容等与疾病治疗无关的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体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育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健身或养生保健类纳入医保基金使用医保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19"/>
                <w:sz w:val="20"/>
                <w:szCs w:val="20"/>
              </w:rPr>
              <w:t>卡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个人账户支付，发现一例扣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2 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分。</w:t>
            </w:r>
          </w:p>
        </w:tc>
        <w:tc>
          <w:tcPr>
            <w:tcW w:w="882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7</w:t>
            </w:r>
          </w:p>
        </w:tc>
        <w:tc>
          <w:tcPr>
            <w:tcW w:w="3601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65" w:line="289" w:lineRule="auto"/>
              <w:ind w:left="108" w:right="135" w:hanging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>是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否严格审核，存在无指征放宽转院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标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准。</w:t>
            </w:r>
          </w:p>
        </w:tc>
        <w:tc>
          <w:tcPr>
            <w:tcW w:w="4606" w:type="dxa"/>
            <w:vAlign w:val="top"/>
          </w:tcPr>
          <w:p>
            <w:pPr>
              <w:spacing w:before="51" w:line="264" w:lineRule="auto"/>
              <w:ind w:left="114" w:right="58" w:firstLine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>病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历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书写简写、隐瞒外伤史，未履行外伤审查扣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3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分；降低入院指征，未进行实质性治疗扣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 xml:space="preserve">3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分；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>特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殊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药品使用家庭病床审核把关不严，造成基金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浪费的，扣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 xml:space="preserve">4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分。</w:t>
            </w:r>
          </w:p>
        </w:tc>
        <w:tc>
          <w:tcPr>
            <w:tcW w:w="882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8</w:t>
            </w:r>
          </w:p>
        </w:tc>
        <w:tc>
          <w:tcPr>
            <w:tcW w:w="3601" w:type="dxa"/>
            <w:vAlign w:val="top"/>
          </w:tcPr>
          <w:p>
            <w:pPr>
              <w:spacing w:before="53" w:line="266" w:lineRule="auto"/>
              <w:ind w:left="113" w:right="106" w:hanging="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是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否严格执行结算标准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.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是否有推诿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参保人员正常就医，以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“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超定额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”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或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“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次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均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费用超标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”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为由，分解住院、同一医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院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就诊转科治疗办理出入院、住院期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间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门诊缴费。</w:t>
            </w:r>
          </w:p>
        </w:tc>
        <w:tc>
          <w:tcPr>
            <w:tcW w:w="460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5" w:line="226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发现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 xml:space="preserve">1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 xml:space="preserve">例扣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 xml:space="preserve">5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分，两例及以上的此项不得分。</w:t>
            </w:r>
          </w:p>
        </w:tc>
        <w:tc>
          <w:tcPr>
            <w:tcW w:w="882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9</w:t>
            </w:r>
          </w:p>
        </w:tc>
        <w:tc>
          <w:tcPr>
            <w:tcW w:w="3601" w:type="dxa"/>
            <w:vAlign w:val="top"/>
          </w:tcPr>
          <w:p>
            <w:pPr>
              <w:spacing w:before="134" w:line="289" w:lineRule="auto"/>
              <w:ind w:left="109" w:right="106" w:firstLine="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通过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“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假病人、假病情、假票据、假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血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0"/>
                <w:szCs w:val="20"/>
              </w:rPr>
              <w:t>透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”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方式套取骗取医保基金行为；</w:t>
            </w:r>
          </w:p>
        </w:tc>
        <w:tc>
          <w:tcPr>
            <w:tcW w:w="4606" w:type="dxa"/>
            <w:vAlign w:val="top"/>
          </w:tcPr>
          <w:p>
            <w:pPr>
              <w:spacing w:before="286" w:line="226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发现一例，此项不得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分</w:t>
            </w:r>
          </w:p>
        </w:tc>
        <w:tc>
          <w:tcPr>
            <w:tcW w:w="882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5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601" w:type="dxa"/>
            <w:vAlign w:val="top"/>
          </w:tcPr>
          <w:p>
            <w:pPr>
              <w:spacing w:before="134" w:line="289" w:lineRule="auto"/>
              <w:ind w:left="117" w:right="135" w:hanging="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>提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供虚假证明材料，或者串通他人虚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开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费用单据；</w:t>
            </w:r>
          </w:p>
        </w:tc>
        <w:tc>
          <w:tcPr>
            <w:tcW w:w="4606" w:type="dxa"/>
            <w:vAlign w:val="top"/>
          </w:tcPr>
          <w:p>
            <w:pPr>
              <w:spacing w:before="134" w:line="290" w:lineRule="auto"/>
              <w:ind w:left="120" w:right="137" w:hanging="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提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供虚假证明材料、挂床住院，每人次扣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2 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分，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扣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完为止。</w:t>
            </w:r>
          </w:p>
        </w:tc>
        <w:tc>
          <w:tcPr>
            <w:tcW w:w="882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9" w:h="11906"/>
          <w:pgMar w:top="1012" w:right="2113" w:bottom="400" w:left="1137" w:header="0" w:footer="0" w:gutter="0"/>
          <w:cols w:space="720" w:num="1"/>
        </w:sectPr>
      </w:pPr>
    </w:p>
    <w:p/>
    <w:p/>
    <w:p>
      <w:pPr>
        <w:spacing w:line="92" w:lineRule="exact"/>
      </w:pPr>
    </w:p>
    <w:tbl>
      <w:tblPr>
        <w:tblStyle w:val="4"/>
        <w:tblW w:w="12746" w:type="dxa"/>
        <w:tblInd w:w="8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696"/>
        <w:gridCol w:w="742"/>
        <w:gridCol w:w="3601"/>
        <w:gridCol w:w="4606"/>
        <w:gridCol w:w="882"/>
        <w:gridCol w:w="850"/>
        <w:gridCol w:w="8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601" w:type="dxa"/>
            <w:vAlign w:val="top"/>
          </w:tcPr>
          <w:p>
            <w:pPr>
              <w:spacing w:before="52" w:line="259" w:lineRule="auto"/>
              <w:ind w:left="107" w:righ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>是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否存在分解收费项目、重复、滥用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>及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超范围使用大型检查和贵重药品治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疗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等行为。</w:t>
            </w:r>
          </w:p>
        </w:tc>
        <w:tc>
          <w:tcPr>
            <w:tcW w:w="4606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5" w:line="224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发现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 xml:space="preserve">1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例违约行为不得分。</w:t>
            </w:r>
          </w:p>
        </w:tc>
        <w:tc>
          <w:tcPr>
            <w:tcW w:w="882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858" w:hRule="atLeast"/>
        </w:trPr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204" w:lineRule="auto"/>
              <w:ind w:left="1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五</w:t>
            </w: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281" w:lineRule="auto"/>
              <w:ind w:left="138" w:right="137" w:firstLine="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医</w:t>
            </w: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保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政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策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学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习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宣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传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情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况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分)</w:t>
            </w:r>
          </w:p>
        </w:tc>
        <w:tc>
          <w:tcPr>
            <w:tcW w:w="74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601" w:type="dxa"/>
            <w:vAlign w:val="top"/>
          </w:tcPr>
          <w:p>
            <w:pPr>
              <w:spacing w:before="227" w:line="281" w:lineRule="auto"/>
              <w:ind w:left="107" w:right="4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>是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否设置基本医保政策宣传栏、投诉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箱、及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时妥善处理参保人员举报投诉。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0"/>
                <w:szCs w:val="20"/>
              </w:rPr>
              <w:t>公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示主要医疗收费项目、收费标准、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举报电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话，使用规范的医保宣传标识，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公布医保门诊、住院就医流程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。</w:t>
            </w:r>
          </w:p>
        </w:tc>
        <w:tc>
          <w:tcPr>
            <w:tcW w:w="4606" w:type="dxa"/>
            <w:vAlign w:val="top"/>
          </w:tcPr>
          <w:p>
            <w:pPr>
              <w:spacing w:before="38" w:line="274" w:lineRule="auto"/>
              <w:ind w:left="114" w:right="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未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设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投诉窗口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台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)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、箱等设施、公布监督举报电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 xml:space="preserve">话，扣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 xml:space="preserve">1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分；对参保人员的投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诉未及时受理处理， 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造成上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访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的，扣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2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分；无医保政策宣传、不及时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更新宣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传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内容，扣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1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分；险种合并仍使用原有标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 xml:space="preserve">识标牌，扣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 xml:space="preserve">1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分；未公布无门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诊、住院就医流程， </w:t>
            </w: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 xml:space="preserve">扣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 xml:space="preserve">1 </w:t>
            </w: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分。</w:t>
            </w:r>
          </w:p>
        </w:tc>
        <w:tc>
          <w:tcPr>
            <w:tcW w:w="882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8" w:line="192" w:lineRule="auto"/>
              <w:ind w:left="3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5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601" w:type="dxa"/>
            <w:vAlign w:val="top"/>
          </w:tcPr>
          <w:p>
            <w:pPr>
              <w:spacing w:before="48" w:line="267" w:lineRule="auto"/>
              <w:ind w:left="110" w:right="135" w:firstLine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定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期组织医护人员学习医保政策，参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加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有关医保政策和业务培训；管理人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员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和医务人员熟悉医保政策，并能正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确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解答、宣传，做好医保政策咨询服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务。</w:t>
            </w:r>
          </w:p>
        </w:tc>
        <w:tc>
          <w:tcPr>
            <w:tcW w:w="4606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65" w:line="285" w:lineRule="auto"/>
              <w:ind w:left="118" w:right="104" w:firstLine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 xml:space="preserve">无培训学习记录的，扣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 xml:space="preserve">3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 xml:space="preserve">分；抽查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 xml:space="preserve">4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名工作人员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对医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保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政策不熟悉的，扣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2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分；错误解答、宣传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医保政策，造成不良影响的，扣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3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分。</w:t>
            </w:r>
          </w:p>
        </w:tc>
        <w:tc>
          <w:tcPr>
            <w:tcW w:w="882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9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0175" w:type="dxa"/>
            <w:gridSpan w:val="5"/>
            <w:vAlign w:val="top"/>
          </w:tcPr>
          <w:p>
            <w:pPr>
              <w:spacing w:before="214" w:line="225" w:lineRule="auto"/>
              <w:ind w:left="446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合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        计</w:t>
            </w:r>
          </w:p>
        </w:tc>
        <w:tc>
          <w:tcPr>
            <w:tcW w:w="882" w:type="dxa"/>
            <w:vAlign w:val="top"/>
          </w:tcPr>
          <w:p>
            <w:pPr>
              <w:spacing w:before="251" w:line="195" w:lineRule="auto"/>
              <w:ind w:left="3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150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70" w:line="226" w:lineRule="auto"/>
        <w:ind w:left="849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10"/>
          <w:sz w:val="20"/>
          <w:szCs w:val="20"/>
        </w:rPr>
        <w:t>备注：违反</w:t>
      </w:r>
      <w:r>
        <w:rPr>
          <w:rFonts w:ascii="楷体" w:hAnsi="楷体" w:eastAsia="楷体" w:cs="楷体"/>
          <w:spacing w:val="5"/>
          <w:sz w:val="20"/>
          <w:szCs w:val="20"/>
        </w:rPr>
        <w:t>医疗保障有关政策规定或服务协议约定，但本表中没有具体评分标准的，每项扣 5 分，情节严重的扣 10 分。</w:t>
      </w:r>
    </w:p>
    <w:p/>
    <w:sectPr>
      <w:pgSz w:w="16839" w:h="11906"/>
      <w:pgMar w:top="1012" w:right="2097" w:bottom="400" w:left="113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ZGMwZDhiOTY2N2VlMTU1ODA1ZDE0ODExMWRhNDAifQ=="/>
  </w:docVars>
  <w:rsids>
    <w:rsidRoot w:val="457344B0"/>
    <w:rsid w:val="457344B0"/>
    <w:rsid w:val="7428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2936</Words>
  <Characters>3019</Characters>
  <Lines>0</Lines>
  <Paragraphs>0</Paragraphs>
  <TotalTime>2</TotalTime>
  <ScaleCrop>false</ScaleCrop>
  <LinksUpToDate>false</LinksUpToDate>
  <CharactersWithSpaces>3372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2023-02-28T02:52:00Z</dcterms:created>
  <dc:creator>大型食肉宠物</dc:creator>
  <cp:lastModifiedBy>大型食肉宠物</cp:lastModifiedBy>
  <dcterms:modified xsi:type="dcterms:W3CDTF">2023-02-28T02:58:35Z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618154F0E7454C1582DB40A5BCE8F727</vt:lpwstr>
  </property>
</Properties>
</file>