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Autospacing="0" w:afterAutospacing="0" w:line="580" w:lineRule="exact"/>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附件2</w:t>
      </w:r>
    </w:p>
    <w:p>
      <w:pPr>
        <w:pStyle w:val="4"/>
        <w:ind w:firstLine="440"/>
        <w:rPr>
          <w:rFonts w:hint="default" w:ascii="Times New Roman" w:hAnsi="Times New Roman" w:cs="Times New Roman" w:eastAsiaTheme="minorEastAsia"/>
          <w:sz w:val="32"/>
          <w:szCs w:val="32"/>
        </w:rPr>
      </w:pPr>
    </w:p>
    <w:p>
      <w:pPr>
        <w:jc w:val="center"/>
        <w:rPr>
          <w:rFonts w:hint="default" w:ascii="Times New Roman" w:hAnsi="Times New Roman" w:eastAsia="方正小标宋简体" w:cs="Times New Roman"/>
          <w:spacing w:val="-11"/>
          <w:sz w:val="32"/>
          <w:szCs w:val="32"/>
        </w:rPr>
      </w:pPr>
      <w:r>
        <w:rPr>
          <w:rFonts w:hint="default" w:ascii="Times New Roman" w:hAnsi="Times New Roman" w:eastAsia="方正小标宋简体" w:cs="Times New Roman"/>
          <w:spacing w:val="-11"/>
          <w:sz w:val="32"/>
          <w:szCs w:val="32"/>
        </w:rPr>
        <w:t>汉中市汉台区物业服务区域机动车停车服务费标准（</w:t>
      </w:r>
      <w:r>
        <w:rPr>
          <w:rFonts w:hint="eastAsia" w:ascii="Times New Roman" w:hAnsi="Times New Roman" w:eastAsia="仿宋_GB2312" w:cs="Times New Roman"/>
          <w:color w:val="auto"/>
          <w:sz w:val="32"/>
          <w:szCs w:val="32"/>
          <w:lang w:eastAsia="zh-CN"/>
        </w:rPr>
        <w:t>征求意见稿</w:t>
      </w:r>
      <w:r>
        <w:rPr>
          <w:rFonts w:hint="default" w:ascii="Times New Roman" w:hAnsi="Times New Roman" w:eastAsia="方正小标宋简体" w:cs="Times New Roman"/>
          <w:spacing w:val="-11"/>
          <w:sz w:val="32"/>
          <w:szCs w:val="32"/>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1771"/>
        <w:gridCol w:w="1694"/>
        <w:gridCol w:w="1581"/>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758" w:type="dxa"/>
            <w:vMerge w:val="restart"/>
            <w:vAlign w:val="center"/>
          </w:tcPr>
          <w:p>
            <w:pPr>
              <w:pStyle w:val="2"/>
              <w:spacing w:after="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服务等级</w:t>
            </w:r>
          </w:p>
        </w:tc>
        <w:tc>
          <w:tcPr>
            <w:tcW w:w="7221" w:type="dxa"/>
            <w:gridSpan w:val="4"/>
            <w:vAlign w:val="center"/>
          </w:tcPr>
          <w:p>
            <w:pPr>
              <w:pStyle w:val="2"/>
              <w:spacing w:after="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收费标准（元/车位）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758" w:type="dxa"/>
            <w:vMerge w:val="continue"/>
            <w:vAlign w:val="center"/>
          </w:tcPr>
          <w:p>
            <w:pPr>
              <w:pStyle w:val="2"/>
              <w:spacing w:after="0"/>
              <w:jc w:val="center"/>
              <w:rPr>
                <w:rFonts w:hint="default" w:ascii="Times New Roman" w:hAnsi="Times New Roman" w:cs="Times New Roman" w:eastAsiaTheme="minorEastAsia"/>
                <w:sz w:val="24"/>
                <w:szCs w:val="24"/>
              </w:rPr>
            </w:pPr>
          </w:p>
        </w:tc>
        <w:tc>
          <w:tcPr>
            <w:tcW w:w="3652" w:type="dxa"/>
            <w:gridSpan w:val="2"/>
            <w:vAlign w:val="center"/>
          </w:tcPr>
          <w:p>
            <w:pPr>
              <w:pStyle w:val="2"/>
              <w:spacing w:after="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室   内</w:t>
            </w:r>
          </w:p>
        </w:tc>
        <w:tc>
          <w:tcPr>
            <w:tcW w:w="3569" w:type="dxa"/>
            <w:gridSpan w:val="2"/>
            <w:vAlign w:val="center"/>
          </w:tcPr>
          <w:p>
            <w:pPr>
              <w:pStyle w:val="2"/>
              <w:spacing w:after="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露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758" w:type="dxa"/>
            <w:vMerge w:val="continue"/>
            <w:vAlign w:val="center"/>
          </w:tcPr>
          <w:p>
            <w:pPr>
              <w:pStyle w:val="2"/>
              <w:spacing w:after="0"/>
              <w:jc w:val="center"/>
              <w:rPr>
                <w:rFonts w:hint="default" w:ascii="Times New Roman" w:hAnsi="Times New Roman" w:cs="Times New Roman" w:eastAsiaTheme="minorEastAsia"/>
                <w:sz w:val="24"/>
                <w:szCs w:val="24"/>
              </w:rPr>
            </w:pPr>
          </w:p>
        </w:tc>
        <w:tc>
          <w:tcPr>
            <w:tcW w:w="1867" w:type="dxa"/>
            <w:vAlign w:val="center"/>
          </w:tcPr>
          <w:p>
            <w:pPr>
              <w:pStyle w:val="2"/>
              <w:spacing w:after="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按 月</w:t>
            </w:r>
          </w:p>
        </w:tc>
        <w:tc>
          <w:tcPr>
            <w:tcW w:w="1785" w:type="dxa"/>
            <w:vAlign w:val="center"/>
          </w:tcPr>
          <w:p>
            <w:pPr>
              <w:pStyle w:val="2"/>
              <w:spacing w:after="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按 次</w:t>
            </w:r>
          </w:p>
        </w:tc>
        <w:tc>
          <w:tcPr>
            <w:tcW w:w="1663" w:type="dxa"/>
            <w:vAlign w:val="center"/>
          </w:tcPr>
          <w:p>
            <w:pPr>
              <w:pStyle w:val="2"/>
              <w:spacing w:after="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按 月</w:t>
            </w:r>
          </w:p>
        </w:tc>
        <w:tc>
          <w:tcPr>
            <w:tcW w:w="1906" w:type="dxa"/>
            <w:vAlign w:val="center"/>
          </w:tcPr>
          <w:p>
            <w:pPr>
              <w:pStyle w:val="2"/>
              <w:spacing w:after="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按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758" w:type="dxa"/>
            <w:vAlign w:val="center"/>
          </w:tcPr>
          <w:p>
            <w:pPr>
              <w:pStyle w:val="2"/>
              <w:spacing w:after="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一类</w:t>
            </w:r>
          </w:p>
        </w:tc>
        <w:tc>
          <w:tcPr>
            <w:tcW w:w="1867" w:type="dxa"/>
            <w:vAlign w:val="center"/>
          </w:tcPr>
          <w:p>
            <w:pPr>
              <w:pStyle w:val="2"/>
              <w:spacing w:after="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40</w:t>
            </w:r>
          </w:p>
        </w:tc>
        <w:tc>
          <w:tcPr>
            <w:tcW w:w="1785" w:type="dxa"/>
            <w:vMerge w:val="restart"/>
            <w:vAlign w:val="center"/>
          </w:tcPr>
          <w:p>
            <w:pPr>
              <w:pStyle w:val="2"/>
              <w:spacing w:after="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p>
        </w:tc>
        <w:tc>
          <w:tcPr>
            <w:tcW w:w="1663" w:type="dxa"/>
            <w:vAlign w:val="center"/>
          </w:tcPr>
          <w:p>
            <w:pPr>
              <w:pStyle w:val="2"/>
              <w:spacing w:after="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w:t>
            </w:r>
          </w:p>
        </w:tc>
        <w:tc>
          <w:tcPr>
            <w:tcW w:w="1906" w:type="dxa"/>
            <w:vMerge w:val="restart"/>
            <w:vAlign w:val="center"/>
          </w:tcPr>
          <w:p>
            <w:pPr>
              <w:pStyle w:val="2"/>
              <w:spacing w:after="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758" w:type="dxa"/>
            <w:vAlign w:val="center"/>
          </w:tcPr>
          <w:p>
            <w:pPr>
              <w:pStyle w:val="2"/>
              <w:spacing w:after="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二类</w:t>
            </w:r>
          </w:p>
        </w:tc>
        <w:tc>
          <w:tcPr>
            <w:tcW w:w="1867" w:type="dxa"/>
            <w:vAlign w:val="center"/>
          </w:tcPr>
          <w:p>
            <w:pPr>
              <w:pStyle w:val="2"/>
              <w:spacing w:after="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35</w:t>
            </w:r>
          </w:p>
        </w:tc>
        <w:tc>
          <w:tcPr>
            <w:tcW w:w="1785" w:type="dxa"/>
            <w:vMerge w:val="continue"/>
            <w:vAlign w:val="center"/>
          </w:tcPr>
          <w:p>
            <w:pPr>
              <w:pStyle w:val="2"/>
              <w:spacing w:after="0"/>
              <w:jc w:val="center"/>
              <w:rPr>
                <w:rFonts w:hint="default" w:ascii="Times New Roman" w:hAnsi="Times New Roman" w:cs="Times New Roman" w:eastAsiaTheme="minorEastAsia"/>
                <w:sz w:val="24"/>
                <w:szCs w:val="24"/>
              </w:rPr>
            </w:pPr>
          </w:p>
        </w:tc>
        <w:tc>
          <w:tcPr>
            <w:tcW w:w="1663" w:type="dxa"/>
            <w:vAlign w:val="center"/>
          </w:tcPr>
          <w:p>
            <w:pPr>
              <w:pStyle w:val="2"/>
              <w:spacing w:after="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15</w:t>
            </w:r>
          </w:p>
        </w:tc>
        <w:tc>
          <w:tcPr>
            <w:tcW w:w="1906" w:type="dxa"/>
            <w:vMerge w:val="continue"/>
            <w:vAlign w:val="center"/>
          </w:tcPr>
          <w:p>
            <w:pPr>
              <w:pStyle w:val="2"/>
              <w:spacing w:after="0"/>
              <w:jc w:val="center"/>
              <w:rPr>
                <w:rFonts w:hint="default" w:ascii="Times New Roman" w:hAnsi="Times New Roman" w:cs="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8" w:type="dxa"/>
            <w:vAlign w:val="center"/>
          </w:tcPr>
          <w:p>
            <w:pPr>
              <w:pStyle w:val="2"/>
              <w:spacing w:after="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三类</w:t>
            </w:r>
          </w:p>
        </w:tc>
        <w:tc>
          <w:tcPr>
            <w:tcW w:w="1867" w:type="dxa"/>
            <w:vAlign w:val="center"/>
          </w:tcPr>
          <w:p>
            <w:pPr>
              <w:pStyle w:val="2"/>
              <w:spacing w:after="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30</w:t>
            </w:r>
          </w:p>
        </w:tc>
        <w:tc>
          <w:tcPr>
            <w:tcW w:w="1785" w:type="dxa"/>
            <w:vMerge w:val="continue"/>
            <w:vAlign w:val="center"/>
          </w:tcPr>
          <w:p>
            <w:pPr>
              <w:pStyle w:val="2"/>
              <w:spacing w:after="0"/>
              <w:jc w:val="center"/>
              <w:rPr>
                <w:rFonts w:hint="default" w:ascii="Times New Roman" w:hAnsi="Times New Roman" w:cs="Times New Roman" w:eastAsiaTheme="minorEastAsia"/>
                <w:sz w:val="24"/>
                <w:szCs w:val="24"/>
              </w:rPr>
            </w:pPr>
          </w:p>
        </w:tc>
        <w:tc>
          <w:tcPr>
            <w:tcW w:w="1663" w:type="dxa"/>
            <w:vAlign w:val="center"/>
          </w:tcPr>
          <w:p>
            <w:pPr>
              <w:pStyle w:val="2"/>
              <w:spacing w:after="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12</w:t>
            </w:r>
          </w:p>
        </w:tc>
        <w:tc>
          <w:tcPr>
            <w:tcW w:w="1906" w:type="dxa"/>
            <w:vMerge w:val="continue"/>
            <w:vAlign w:val="center"/>
          </w:tcPr>
          <w:p>
            <w:pPr>
              <w:pStyle w:val="2"/>
              <w:spacing w:after="0"/>
              <w:jc w:val="center"/>
              <w:rPr>
                <w:rFonts w:hint="default" w:ascii="Times New Roman" w:hAnsi="Times New Roman" w:cs="Times New Roman" w:eastAsiaTheme="minorEastAsia"/>
                <w:sz w:val="24"/>
                <w:szCs w:val="24"/>
              </w:rPr>
            </w:pPr>
          </w:p>
        </w:tc>
      </w:tr>
    </w:tbl>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sz w:val="20"/>
          <w:szCs w:val="20"/>
        </w:rPr>
      </w:pPr>
      <w:r>
        <w:rPr>
          <w:rFonts w:hint="default" w:ascii="Times New Roman" w:hAnsi="Times New Roman" w:cs="Times New Roman"/>
          <w:sz w:val="20"/>
          <w:szCs w:val="20"/>
        </w:rPr>
        <w:t>说明:</w:t>
      </w:r>
    </w:p>
    <w:p>
      <w:pPr>
        <w:keepNext w:val="0"/>
        <w:keepLines w:val="0"/>
        <w:pageBreakBefore w:val="0"/>
        <w:kinsoku/>
        <w:wordWrap/>
        <w:overflowPunct/>
        <w:topLinePunct w:val="0"/>
        <w:autoSpaceDE/>
        <w:autoSpaceDN/>
        <w:bidi w:val="0"/>
        <w:adjustRightInd/>
        <w:snapToGrid/>
        <w:spacing w:line="440" w:lineRule="exact"/>
        <w:ind w:firstLine="400" w:firstLineChars="200"/>
        <w:textAlignment w:val="auto"/>
        <w:rPr>
          <w:rFonts w:hint="default" w:ascii="Times New Roman" w:hAnsi="Times New Roman" w:cs="Times New Roman"/>
          <w:sz w:val="20"/>
          <w:szCs w:val="20"/>
        </w:rPr>
      </w:pPr>
      <w:r>
        <w:rPr>
          <w:rFonts w:hint="default" w:ascii="Times New Roman" w:hAnsi="Times New Roman" w:cs="Times New Roman"/>
          <w:sz w:val="20"/>
          <w:szCs w:val="20"/>
        </w:rPr>
        <w:t>1.实行政府指导价的物业服务收费标准依据汉中市住建局《汉中市物业管理区域内交通工具停放场所类别标准》（汉住建发〔2023〕116号）执行，按照质价相符的原则制定。</w:t>
      </w:r>
    </w:p>
    <w:p>
      <w:pPr>
        <w:keepNext w:val="0"/>
        <w:keepLines w:val="0"/>
        <w:pageBreakBefore w:val="0"/>
        <w:widowControl/>
        <w:kinsoku/>
        <w:wordWrap/>
        <w:overflowPunct/>
        <w:topLinePunct w:val="0"/>
        <w:autoSpaceDE/>
        <w:autoSpaceDN/>
        <w:bidi w:val="0"/>
        <w:adjustRightInd/>
        <w:snapToGrid/>
        <w:spacing w:line="440" w:lineRule="exact"/>
        <w:ind w:firstLine="400" w:firstLineChars="200"/>
        <w:textAlignment w:val="auto"/>
        <w:rPr>
          <w:rFonts w:hint="default" w:ascii="Times New Roman" w:hAnsi="Times New Roman" w:cs="Times New Roman"/>
          <w:sz w:val="20"/>
          <w:szCs w:val="20"/>
        </w:rPr>
      </w:pPr>
      <w:r>
        <w:rPr>
          <w:rFonts w:hint="default" w:ascii="Times New Roman" w:hAnsi="Times New Roman" w:cs="Times New Roman"/>
          <w:sz w:val="20"/>
          <w:szCs w:val="20"/>
        </w:rPr>
        <w:t>2.30 分钟之内不得收费，按次计费不分昼夜，连续停车每4小时为一次。</w:t>
      </w:r>
    </w:p>
    <w:p>
      <w:pPr>
        <w:keepNext w:val="0"/>
        <w:keepLines w:val="0"/>
        <w:pageBreakBefore w:val="0"/>
        <w:widowControl/>
        <w:kinsoku/>
        <w:wordWrap/>
        <w:overflowPunct/>
        <w:topLinePunct w:val="0"/>
        <w:autoSpaceDE/>
        <w:autoSpaceDN/>
        <w:bidi w:val="0"/>
        <w:adjustRightInd/>
        <w:snapToGrid/>
        <w:spacing w:line="440" w:lineRule="exact"/>
        <w:ind w:firstLine="400" w:firstLineChars="200"/>
        <w:textAlignment w:val="auto"/>
        <w:rPr>
          <w:rFonts w:hint="default" w:ascii="Times New Roman" w:hAnsi="Times New Roman" w:cs="Times New Roman"/>
          <w:sz w:val="20"/>
          <w:szCs w:val="20"/>
        </w:rPr>
      </w:pPr>
      <w:r>
        <w:rPr>
          <w:rFonts w:hint="default" w:ascii="Times New Roman" w:hAnsi="Times New Roman" w:cs="Times New Roman"/>
          <w:sz w:val="20"/>
          <w:szCs w:val="20"/>
        </w:rPr>
        <w:t>3.子母车位不得高于1.5个车位的停放服务费标准，具体标准由业主与物业服务人在物业服务合同中约定。</w:t>
      </w:r>
    </w:p>
    <w:p>
      <w:pPr>
        <w:keepNext w:val="0"/>
        <w:keepLines w:val="0"/>
        <w:pageBreakBefore w:val="0"/>
        <w:widowControl/>
        <w:kinsoku/>
        <w:wordWrap/>
        <w:overflowPunct/>
        <w:topLinePunct w:val="0"/>
        <w:autoSpaceDE/>
        <w:autoSpaceDN/>
        <w:bidi w:val="0"/>
        <w:adjustRightInd/>
        <w:snapToGrid/>
        <w:spacing w:line="440" w:lineRule="exact"/>
        <w:ind w:firstLine="400" w:firstLineChars="200"/>
        <w:textAlignment w:val="auto"/>
        <w:rPr>
          <w:rFonts w:hint="default" w:ascii="Times New Roman" w:hAnsi="Times New Roman" w:cs="Times New Roman"/>
          <w:sz w:val="20"/>
          <w:szCs w:val="20"/>
        </w:rPr>
      </w:pPr>
      <w:r>
        <w:rPr>
          <w:rFonts w:hint="default" w:ascii="Times New Roman" w:hAnsi="Times New Roman" w:cs="Times New Roman"/>
          <w:sz w:val="20"/>
          <w:szCs w:val="20"/>
        </w:rPr>
        <w:t>4.机械车位的停放服务费参照一级标准执行，上浮不超过10%。</w:t>
      </w:r>
    </w:p>
    <w:p>
      <w:pPr>
        <w:keepNext w:val="0"/>
        <w:keepLines w:val="0"/>
        <w:pageBreakBefore w:val="0"/>
        <w:widowControl/>
        <w:kinsoku/>
        <w:wordWrap/>
        <w:overflowPunct/>
        <w:topLinePunct w:val="0"/>
        <w:autoSpaceDE/>
        <w:autoSpaceDN/>
        <w:bidi w:val="0"/>
        <w:adjustRightInd/>
        <w:snapToGrid/>
        <w:spacing w:line="440" w:lineRule="exact"/>
        <w:ind w:firstLine="400" w:firstLineChars="200"/>
        <w:textAlignment w:val="auto"/>
        <w:rPr>
          <w:rFonts w:hint="default" w:ascii="Times New Roman" w:hAnsi="Times New Roman" w:cs="Times New Roman"/>
          <w:sz w:val="20"/>
          <w:szCs w:val="20"/>
        </w:rPr>
      </w:pPr>
      <w:r>
        <w:rPr>
          <w:rFonts w:hint="default" w:ascii="Times New Roman" w:hAnsi="Times New Roman" w:cs="Times New Roman"/>
          <w:sz w:val="20"/>
          <w:szCs w:val="20"/>
        </w:rPr>
        <w:t>5.属于全体业主共有的物业公共区域车辆停放场地占用费收入归全体业主，应单独记账，支出由全体业主决定，主要用于小区公共部位维修维护费用及经业主同意的其他费用支出，物业公共区域车辆场地占用费及停车服务费的收取，经“参与表决双过半业主”同意后，并在物业管理区域显著位置公示，公示时间不得少于30个工作日。</w:t>
      </w:r>
    </w:p>
    <w:p>
      <w:pPr>
        <w:keepNext w:val="0"/>
        <w:keepLines w:val="0"/>
        <w:pageBreakBefore w:val="0"/>
        <w:widowControl/>
        <w:kinsoku/>
        <w:wordWrap/>
        <w:overflowPunct/>
        <w:topLinePunct w:val="0"/>
        <w:autoSpaceDE/>
        <w:autoSpaceDN/>
        <w:bidi w:val="0"/>
        <w:adjustRightInd/>
        <w:snapToGrid/>
        <w:spacing w:line="440" w:lineRule="exact"/>
        <w:ind w:firstLine="400" w:firstLineChars="200"/>
        <w:textAlignment w:val="auto"/>
        <w:rPr>
          <w:rFonts w:hint="default" w:ascii="Times New Roman" w:hAnsi="Times New Roman" w:cs="Times New Roman"/>
          <w:sz w:val="20"/>
          <w:szCs w:val="20"/>
        </w:rPr>
      </w:pPr>
      <w:r>
        <w:rPr>
          <w:rFonts w:hint="default" w:ascii="Times New Roman" w:hAnsi="Times New Roman" w:cs="Times New Roman"/>
          <w:sz w:val="20"/>
          <w:szCs w:val="20"/>
        </w:rPr>
        <w:t>6.上述收费标准为最高限价，下浮不限。</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GMwZDhiOTY2N2VlMTU1ODA1ZDE0ODExMWRhNDAifQ=="/>
  </w:docVars>
  <w:rsids>
    <w:rsidRoot w:val="47D14753"/>
    <w:rsid w:val="47D14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仿宋_GB2312" w:cs="Times New Roman"/>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w:basedOn w:val="2"/>
    <w:qFormat/>
    <w:uiPriority w:val="0"/>
    <w:pPr>
      <w:spacing w:after="0"/>
      <w:ind w:firstLine="20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2023-11-09T08:00:00Z</dcterms:created>
  <dc:creator>大型食肉宠物</dc:creator>
  <cp:lastModifiedBy>大型食肉宠物</cp:lastModifiedBy>
  <dcterms:modified xsi:type="dcterms:W3CDTF">2023-11-09T08:00:29Z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4F19C495311F4202AB0F1C39BCDF4B64_11</vt:lpwstr>
  </property>
</Properties>
</file>